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июля 2024 года                                                                                    № 92/1468</w:t>
      </w:r>
    </w:p>
    <w:p>
      <w:pPr>
        <w:pStyle w:val="Normal"/>
        <w:shd w:val="clear" w:color="auto" w:fill="FFFFFF"/>
        <w:spacing w:lineRule="auto" w:line="240" w:before="0" w:after="300"/>
        <w:contextualSpacing/>
        <w:jc w:val="center"/>
        <w:rPr>
          <w:rFonts w:ascii="Times New Roman" w:hAnsi="Times New Roman"/>
          <w:b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формах и порядке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 Крымский район</w:t>
      </w:r>
    </w:p>
    <w:p>
      <w:pPr>
        <w:pStyle w:val="Normal"/>
        <w:shd w:val="clear" w:color="auto" w:fill="FFFFFF"/>
        <w:spacing w:lineRule="auto" w:line="240" w:before="0" w:after="300"/>
        <w:contextualSpacing/>
        <w:jc w:val="center"/>
        <w:rPr>
          <w:rFonts w:ascii="Times New Roman" w:hAnsi="Times New Roman"/>
          <w:b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назначенных на 8 сентября 2024 года</w:t>
      </w:r>
    </w:p>
    <w:p>
      <w:pPr>
        <w:pStyle w:val="Normal"/>
        <w:shd w:val="clear" w:color="auto" w:fill="FFFFFF"/>
        <w:spacing w:lineRule="auto" w:line="240" w:before="0" w:after="300"/>
        <w:ind w:firstLine="709"/>
        <w:contextualSpacing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exact" w:line="454" w:before="0" w:after="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целях обеспечения гласности в деятельности избирательных комиссий, на основании пункта 7.1 статьи 30 Федерального закона от 12 июня 2002 г. № 67-ФЗ «Об основных гарантиях избирательных прав и права на участие в референдуме граждан Российской Федерации», части 8.1 статьи 7 Закона Краснодарского края от 26 декабря 2005 г. № 966-КЗ «О муниципальных выборах в Краснодарском крае» территориальная избирательная комиссия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val="ru-RU" w:eastAsia="ru-RU" w:bidi="ar-SA"/>
        </w:rPr>
        <w:t>Крымская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РЕШИЛА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exact" w:line="454" w:before="0" w:after="30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Утвердить Порядок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val="ru-RU" w:eastAsia="ru-RU" w:bidi="ar-SA"/>
        </w:rPr>
        <w:t>Крымский район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 назначенных на 8 сентября 2024 года (приложение № 1).</w:t>
      </w:r>
    </w:p>
    <w:p>
      <w:pPr>
        <w:pStyle w:val="Normal"/>
        <w:shd w:val="clear" w:color="auto" w:fill="FFFFFF"/>
        <w:spacing w:lineRule="exact" w:line="454" w:before="0" w:after="30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Утвердить формы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val="ru-RU" w:eastAsia="ru-RU" w:bidi="ar-SA"/>
        </w:rPr>
        <w:t>Крымский район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 назначенных на 8 сентября 2024 года (на бумажном носителе и в машиночитаемом виде) (приложения № 2, 3).</w:t>
      </w:r>
    </w:p>
    <w:p>
      <w:pPr>
        <w:pStyle w:val="Normal"/>
        <w:shd w:val="clear" w:color="auto" w:fill="FFFFFF"/>
        <w:spacing w:lineRule="exact" w:line="454" w:before="0" w:after="30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rFonts w:ascii="Times New Roman" w:hAnsi="Times New Roman"/>
          <w:color w:val="333333"/>
          <w:sz w:val="20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hd w:val="clear" w:color="auto" w:fill="FFFFFF"/>
        <w:spacing w:lineRule="exact" w:line="454" w:before="0" w:after="30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 Направить настоящее решение в избирательную комиссию Краснодарского края.</w:t>
      </w:r>
    </w:p>
    <w:p>
      <w:pPr>
        <w:pStyle w:val="Normal"/>
        <w:shd w:val="clear" w:color="auto" w:fill="FFFFFF"/>
        <w:spacing w:lineRule="exact" w:line="454" w:before="0" w:after="300"/>
        <w:ind w:firstLine="709"/>
        <w:contextualSpacing/>
        <w:jc w:val="both"/>
        <w:rPr/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5. Контроль за исполнением пунктов 3 и 4 настоящего решения возложить на секретаря территориальной избирательной комиссии Крымская Буцкую Е.В.</w:t>
      </w:r>
    </w:p>
    <w:p>
      <w:pPr>
        <w:pStyle w:val="Normal"/>
        <w:spacing w:lineRule="exact" w:line="454"/>
        <w:rPr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Г.Ю. Позднякова</w:t>
      </w:r>
    </w:p>
    <w:p>
      <w:pPr>
        <w:pStyle w:val="Normal"/>
        <w:spacing w:lineRule="exact" w:line="454"/>
        <w:rPr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Е.В. Буцкая</w:t>
      </w:r>
    </w:p>
    <w:p>
      <w:pPr>
        <w:pStyle w:val="Normal"/>
        <w:spacing w:lineRule="exact" w:line="454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Style w:val="ab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3"/>
        <w:gridCol w:w="4820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Приложение № 1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 </w:t>
              <w:br/>
              <w:t xml:space="preserve">решением территориальной избирательной комиссии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Крымская</w:t>
            </w:r>
          </w:p>
          <w:p>
            <w:pPr>
              <w:pStyle w:val="Normal"/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от 15 июля 2024 года №  92/1468</w:t>
            </w:r>
          </w:p>
        </w:tc>
      </w:tr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8"/>
          <w:szCs w:val="28"/>
          <w:lang w:val="ru-RU" w:eastAsia="ru-RU" w:bidi="ar-SA"/>
        </w:rPr>
        <w:t>Крымский район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, назначенных 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8 сентября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bookmarkStart w:id="0" w:name="dst100316"/>
      <w:bookmarkEnd w:id="0"/>
      <w:r>
        <w:rPr>
          <w:rFonts w:ascii="Times New Roman" w:hAnsi="Times New Roman"/>
          <w:sz w:val="28"/>
          <w:szCs w:val="28"/>
        </w:rPr>
        <w:t>1.1. Настоящий 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ru-RU" w:bidi="ar-SA"/>
        </w:rPr>
        <w:t>Крымский район,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назначенных на 8 сентября 2024 года (далее – Порядок), разработан на основании </w:t>
      </w:r>
      <w:r>
        <w:rPr>
          <w:rFonts w:ascii="Times New Roman" w:hAnsi="Times New Roman"/>
          <w:sz w:val="28"/>
          <w:szCs w:val="28"/>
        </w:rPr>
        <w:t>пункта 7.1 статьи 30 Федерального закона от 12 июня 2002 г. № 67-ФЗ «Об основных гарантиях избирательных прав и права на участие в референдуме граждан Российской Федерации» (далее – Федеральный закон № 67-ФЗ) и части 8.1 статьи 7 Закона Краснодарского края от 26 декабря 2005 г. № 966-КЗ «О муниципальных выборах в Краснодарском крае» (далее – Закон Краснодарского края № 966-КЗ).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 основании пунктов 3 и 4 статьи 30 Федерального закона № 67-ФЗ, частей 5, 6 и 7 статьи 7 Закона Краснодарского края № 966-КЗ 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Наблюдатели вправе также присутствовать в участковых избирательных комиссиях при проведении ими досрочного голосования, установлении итогов голосования и 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В каждую участковую избирательную комиссию (далее – УИК) и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 xml:space="preserve">Крымская </w:t>
      </w:r>
      <w:r>
        <w:rPr>
          <w:rFonts w:ascii="Times New Roman" w:hAnsi="Times New Roman"/>
          <w:sz w:val="28"/>
          <w:szCs w:val="28"/>
        </w:rPr>
        <w:t xml:space="preserve">(далее – ТИК) от каждого кандидата, зарегистрированного по соответствующему одномандатному (многомандатному) избирательному округу (далее – кандидат), каждого избирательного объединения, выдвинувшего зарегистрированного кандидата (зарегистрированных кандидатов), избирательного объединения, зарегистрировавшего муниципальный список кандидатов (далее – избирательные объединения), каждого субъекта общественного контроля, указанного в </w:t>
      </w:r>
      <w:hyperlink r:id="rId2">
        <w:r>
          <w:rPr>
            <w:rFonts w:ascii="Times New Roman" w:hAnsi="Times New Roman"/>
            <w:sz w:val="28"/>
            <w:szCs w:val="28"/>
          </w:rPr>
          <w:t>пунктах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">
        <w:r>
          <w:rPr>
            <w:rFonts w:ascii="Times New Roman" w:hAnsi="Times New Roman"/>
            <w:sz w:val="28"/>
            <w:szCs w:val="28"/>
          </w:rPr>
          <w:t>2 части 1 статьи 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контроля), </w:t>
      </w:r>
      <w:r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>
        <w:rPr>
          <w:rFonts w:ascii="Times New Roman" w:hAnsi="Times New Roman"/>
          <w:sz w:val="28"/>
          <w:szCs w:val="28"/>
          <w:lang w:eastAsia="ru-RU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</w:t>
      </w:r>
      <w:r>
        <w:rPr>
          <w:rFonts w:ascii="Times New Roman" w:hAnsi="Times New Roman"/>
          <w:sz w:val="28"/>
          <w:szCs w:val="28"/>
        </w:rPr>
        <w:t>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органов государственной власти Краснодарского края, референдуме Краснодарского края, и отсутствие ограничений, предусмотренных пунктом 4 статьи 30 Федерального закона № 67-ФЗ, частью 6 статьи 7 Закона Краснодарского края № 966-КЗ</w:t>
      </w:r>
      <w:r>
        <w:rPr>
          <w:rStyle w:val="Style1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 В случае несоблюдения требований и ограничений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4 статьи 30 Федерального закона № 67-ФЗ, частью 6 статьи 7 Закона Краснодарского края № 966-КЗ,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при проведении муниципальных выборов на территории муниципального образования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ru-RU" w:bidi="ar-SA"/>
        </w:rPr>
        <w:t xml:space="preserve">Крымский район </w:t>
      </w:r>
      <w:r>
        <w:rPr>
          <w:rFonts w:ascii="Times New Roman" w:hAnsi="Times New Roman"/>
          <w:sz w:val="28"/>
          <w:szCs w:val="28"/>
        </w:rPr>
        <w:t>(далее – Список)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ТИК не позднее чем за три дня до дня (первого дня) голосования (до дня досрочного голосования). Список представляется </w:t>
      </w:r>
      <w:r>
        <w:rPr>
          <w:rFonts w:ascii="Times New Roman" w:hAnsi="Times New Roman"/>
          <w:bCs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формам, утвержденным территориальной избирательной комиссией Крымская.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 В последний день приема Списка он может быть представлен в  ТИК не позднее времени окончания работы комиссии </w:t>
        <w:br/>
        <w:t>(18 часов по местному времени).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 В Списке указываются фамилия, имя и отчество каждого наблюдателя, </w:t>
      </w:r>
      <w:r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 а также дата осуществления наблюдения. Также рекомендуется указывать контактный телефон наблюдателя.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>
        <w:rPr>
          <w:rFonts w:ascii="Times New Roman" w:hAnsi="Times New Roman"/>
          <w:sz w:val="28"/>
          <w:szCs w:val="28"/>
        </w:rPr>
        <w:t>пунктом 4 статьи 30 Федерального закона № 67-ФЗ, частью 6 статьи 7 Закона Краснодарского края № 966-КЗ.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избирательным объединением на бумажном носителе подписывается указанным кандидатом, уполномоченным лицом избирательного объединения, заверение печатью не требуется.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2.7. </w:t>
      </w:r>
      <w:r>
        <w:rPr>
          <w:rFonts w:ascii="Times New Roman" w:hAnsi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машиночитаемом виде</w:t>
      </w:r>
      <w:r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>,</w:t>
        <w:br/>
        <w:t>.doc или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 xml:space="preserve"> с именем </w:t>
      </w:r>
      <w:r>
        <w:rPr>
          <w:rFonts w:ascii="Times New Roman" w:hAnsi="Times New Roman"/>
          <w:sz w:val="28"/>
          <w:szCs w:val="28"/>
          <w:lang w:val="en-US"/>
        </w:rPr>
        <w:t>Nabludateli</w:t>
      </w:r>
      <w:r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Работа со Списком в ТИК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В ТИК Список регистрируется как входящий документ с проставлением даты и времени его приема.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территориальной избирательной комиссией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Крымская</w:t>
      </w:r>
      <w:r>
        <w:rPr>
          <w:rFonts w:ascii="Times New Roman" w:hAnsi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Крымская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частью 6 статьи 7 Закона Краснодарского края № 966-КЗ,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en-US" w:bidi="ar-SA"/>
        </w:rPr>
        <w:t>Крымская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  <w:br/>
        <w:t>в комиссию Списков до соответствующих 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абзацем  первым пункта  3.3 Порядка, ТИК незамедлительно информирует </w:t>
        <w:br/>
        <w:t>об этом УИК, направив соответствующие сведения.</w:t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header="0" w:top="654" w:footer="0" w:bottom="477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территориальной избирательной комиссии Крымская с правом решающего голоса, в обязанности которого входит работа с наблюдателями, в списке лиц, присутствовавших в помещении </w:t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tbl>
      <w:tblPr>
        <w:tblW w:w="142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45"/>
        <w:gridCol w:w="6291"/>
      </w:tblGrid>
      <w:tr>
        <w:trPr>
          <w:trHeight w:val="1824" w:hRule="atLeast"/>
        </w:trPr>
        <w:tc>
          <w:tcPr>
            <w:tcW w:w="7945" w:type="dxa"/>
            <w:tcBorders/>
            <w:vAlign w:val="center"/>
          </w:tcPr>
          <w:p>
            <w:pPr>
              <w:pStyle w:val="Normal"/>
              <w:overflowPunct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</w:r>
          </w:p>
        </w:tc>
        <w:tc>
          <w:tcPr>
            <w:tcW w:w="629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Приложение к Порядку представления списка назначенных наблюдателей при проведении муниципальных выборов на территории муниципального образования Крымский район, назначенных на 8 сентября 2024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Крымская</w:t>
      </w:r>
    </w:p>
    <w:p>
      <w:pPr>
        <w:pStyle w:val="Normal"/>
        <w:pBdr>
          <w:top w:val="single" w:sz="4" w:space="3" w:color="000000"/>
        </w:pBdr>
        <w:spacing w:lineRule="auto" w:line="216" w:before="0" w:after="0"/>
        <w:ind w:left="992" w:right="992" w:hanging="0"/>
        <w:jc w:val="center"/>
        <w:rPr>
          <w:rFonts w:ascii="Times New Roman" w:hAnsi="Times New Roman"/>
          <w:i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jc w:val="left"/>
        <w:tblInd w:w="905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764"/>
        <w:gridCol w:w="11835"/>
      </w:tblGrid>
      <w:tr>
        <w:trPr>
          <w:trHeight w:val="414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spacing w:lineRule="auto" w:line="216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835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599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  <w:br/>
        <w:t xml:space="preserve">назначенных кандидатами, избирательными объединениями, субъектами общественного </w:t>
      </w:r>
      <w:r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/>
          <w:i/>
          <w:i/>
          <w:sz w:val="20"/>
          <w:szCs w:val="20"/>
          <w:vertAlign w:val="subscript"/>
          <w:lang w:eastAsia="ru-RU"/>
        </w:rPr>
      </w:pPr>
      <w:r>
        <w:rPr>
          <w:rFonts w:ascii="Times New Roman" w:hAnsi="Times New Roman"/>
          <w:i/>
          <w:sz w:val="20"/>
          <w:szCs w:val="20"/>
          <w:vertAlign w:val="subscript"/>
          <w:lang w:eastAsia="ru-RU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8"/>
        <w:gridCol w:w="2157"/>
        <w:gridCol w:w="1554"/>
        <w:gridCol w:w="2635"/>
        <w:gridCol w:w="2509"/>
        <w:gridCol w:w="3279"/>
        <w:gridCol w:w="2202"/>
      </w:tblGrid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86" w:hRule="exac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Крымская 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_</w:t>
      </w:r>
      <w:r>
        <w:rPr>
          <w:rFonts w:eastAsia="Times New Roman" w:cs="Times New Roman" w:ascii="Times New Roman" w:hAnsi="Times New Roman"/>
          <w:color w:val="auto"/>
          <w:kern w:val="0"/>
          <w:position w:val="0"/>
          <w:sz w:val="24"/>
          <w:sz w:val="24"/>
          <w:szCs w:val="24"/>
          <w:u w:val="single"/>
          <w:vertAlign w:val="baseline"/>
          <w:lang w:val="ru-RU" w:eastAsia="ru-RU" w:bidi="ar-SA"/>
        </w:rPr>
        <w:t>______________</w:t>
      </w:r>
    </w:p>
    <w:p>
      <w:pPr>
        <w:pStyle w:val="Normal"/>
        <w:spacing w:lineRule="auto" w:line="240" w:before="0" w:after="0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(дата, подпись)                                                                      (инициалы, фамилия)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>
      <w:pPr>
        <w:sectPr>
          <w:headerReference w:type="default" r:id="rId4"/>
          <w:footnotePr>
            <w:numFmt w:val="decimal"/>
          </w:footnotePr>
          <w:type w:val="nextPage"/>
          <w:pgSz w:orient="landscape" w:w="16838" w:h="11906"/>
          <w:pgMar w:left="993" w:right="820" w:header="709" w:top="766" w:footer="0" w:bottom="601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39"/>
        <w:gridCol w:w="6094"/>
      </w:tblGrid>
      <w:tr>
        <w:trPr>
          <w:trHeight w:val="732" w:hRule="atLeast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overflowPunct w:val="false"/>
              <w:spacing w:lineRule="auto" w:line="240" w:before="12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Приложение № 2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УТВЕРЖДЕНА </w:t>
              <w:br/>
              <w:t xml:space="preserve">решением территориальной избирательной </w:t>
              <w:br/>
              <w:t>комиссии  Крымская</w:t>
            </w:r>
          </w:p>
          <w:p>
            <w:pPr>
              <w:pStyle w:val="Normal"/>
              <w:overflowPunct w:val="fals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от 15 июля 2024 г. № 92/1468 </w:t>
            </w:r>
          </w:p>
          <w:p>
            <w:pPr>
              <w:pStyle w:val="Normal"/>
              <w:overflowPunct w:val="fals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overflowPunct w:val="fals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9498" w:hanging="0"/>
        <w:jc w:val="center"/>
        <w:outlineLvl w:val="5"/>
        <w:rPr>
          <w:rFonts w:ascii="Times New Roman" w:hAnsi="Times New Roman"/>
          <w:b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Крымская</w:t>
      </w:r>
    </w:p>
    <w:p>
      <w:pPr>
        <w:pStyle w:val="Normal"/>
        <w:pBdr>
          <w:top w:val="single" w:sz="4" w:space="3" w:color="000000"/>
        </w:pBdr>
        <w:spacing w:lineRule="auto" w:line="216" w:before="0" w:after="0"/>
        <w:ind w:left="992" w:right="992" w:hanging="0"/>
        <w:jc w:val="center"/>
        <w:rPr>
          <w:rFonts w:ascii="Times New Roman" w:hAnsi="Times New Roman"/>
          <w:i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jc w:val="left"/>
        <w:tblInd w:w="905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764"/>
        <w:gridCol w:w="11835"/>
      </w:tblGrid>
      <w:tr>
        <w:trPr>
          <w:trHeight w:val="414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spacing w:lineRule="auto" w:line="216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835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599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>
      <w:pPr>
        <w:pStyle w:val="Normal"/>
        <w:spacing w:lineRule="auto" w:line="216" w:before="0" w:after="0"/>
        <w:rPr>
          <w:rFonts w:ascii="Times New Roman" w:hAnsi="Times New Roman"/>
          <w:b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назначенных*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**</w:t>
      </w:r>
    </w:p>
    <w:p>
      <w:pPr>
        <w:pStyle w:val="Normal"/>
        <w:pBdr>
          <w:top w:val="single" w:sz="4" w:space="1" w:color="000000"/>
        </w:pBdr>
        <w:spacing w:lineRule="auto" w:line="216" w:before="0" w:after="0"/>
        <w:ind w:left="2160" w:right="567" w:firstLine="392"/>
        <w:rPr>
          <w:rFonts w:ascii="Times New Roman" w:hAnsi="Times New Roman"/>
          <w:i/>
          <w:i/>
          <w:iCs/>
          <w:sz w:val="20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>
      <w:pPr>
        <w:pStyle w:val="Normal"/>
        <w:pBdr>
          <w:top w:val="single" w:sz="4" w:space="1" w:color="000000"/>
        </w:pBdr>
        <w:spacing w:lineRule="auto" w:line="216" w:before="0" w:after="0"/>
        <w:ind w:left="2160" w:right="567" w:firstLine="392"/>
        <w:rPr>
          <w:rFonts w:ascii="Times New Roman" w:hAnsi="Times New Roman"/>
          <w:i/>
          <w:i/>
          <w:iCs/>
          <w:sz w:val="20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4"/>
          <w:lang w:eastAsia="ru-RU"/>
        </w:rPr>
      </w:r>
    </w:p>
    <w:tbl>
      <w:tblPr>
        <w:tblW w:w="14880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65"/>
        <w:gridCol w:w="1985"/>
        <w:gridCol w:w="1559"/>
        <w:gridCol w:w="2409"/>
        <w:gridCol w:w="1844"/>
        <w:gridCol w:w="3967"/>
        <w:gridCol w:w="255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***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left="318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14628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3996"/>
        <w:gridCol w:w="1985"/>
        <w:gridCol w:w="8647"/>
      </w:tblGrid>
      <w:tr>
        <w:trPr/>
        <w:tc>
          <w:tcPr>
            <w:tcW w:w="39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</w:r>
          </w:p>
        </w:tc>
      </w:tr>
      <w:tr>
        <w:trPr/>
        <w:tc>
          <w:tcPr>
            <w:tcW w:w="399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864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 xml:space="preserve">подпись кандидата/уполномоченного лица избирательного объединения/ </w:t>
              <w:br/>
              <w:t>уполномоченного лица субъекта общественного контроля, дата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*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Список представляется в соответствующую территориальную избирательную комиссию (ТИК) </w:t>
      </w:r>
      <w:r>
        <w:rPr>
          <w:rFonts w:eastAsia="Calibri" w:ascii="Times New Roman" w:hAnsi="Times New Roman"/>
          <w:sz w:val="18"/>
          <w:szCs w:val="18"/>
          <w:lang w:eastAsia="ru-RU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>
        <w:rPr>
          <w:rFonts w:ascii="Times New Roman" w:hAnsi="Times New Roman"/>
          <w:sz w:val="18"/>
          <w:szCs w:val="18"/>
          <w:lang w:eastAsia="ru-RU"/>
        </w:rPr>
        <w:t xml:space="preserve"> не позднее </w:t>
      </w:r>
      <w:r>
        <w:rPr>
          <w:rFonts w:eastAsia="Calibri" w:ascii="Times New Roman" w:hAnsi="Times New Roman"/>
          <w:sz w:val="18"/>
          <w:szCs w:val="18"/>
          <w:lang w:eastAsia="ru-RU"/>
        </w:rPr>
        <w:t xml:space="preserve">чем за три дня до дня (первого дня) голосования (досрочного голосования). ТИК </w:t>
      </w:r>
      <w:r>
        <w:rPr>
          <w:rFonts w:ascii="Times New Roman" w:hAnsi="Times New Roman"/>
          <w:sz w:val="18"/>
          <w:szCs w:val="18"/>
          <w:lang w:eastAsia="ru-RU"/>
        </w:rPr>
        <w:t>передает список в участковую избирательную комиссию до дня (первого дня) голосования (досрочного голосования).</w:t>
      </w:r>
    </w:p>
    <w:p>
      <w:pPr>
        <w:pStyle w:val="Normal"/>
        <w:overflowPunct w:val="false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**Указывается субъект назначения наблюдателей.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***Контактный телефон указывается по желанию.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>
      <w:pPr>
        <w:sectPr>
          <w:headerReference w:type="default" r:id="rId5"/>
          <w:footnotePr>
            <w:numFmt w:val="decimal"/>
          </w:footnotePr>
          <w:type w:val="nextPage"/>
          <w:pgSz w:orient="landscape" w:w="16838" w:h="11906"/>
          <w:pgMar w:left="993" w:right="820" w:header="709" w:top="766" w:footer="0" w:bottom="365" w:gutter="0"/>
          <w:pgNumType w:start="1" w:fmt="decimal"/>
          <w:formProt w:val="false"/>
          <w:textDirection w:val="lrTb"/>
          <w:docGrid w:type="default" w:linePitch="360" w:charSpace="0"/>
        </w:sectPr>
        <w:pStyle w:val="Style35"/>
        <w:ind w:firstLine="48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tbl>
      <w:tblPr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2"/>
        <w:gridCol w:w="6096"/>
      </w:tblGrid>
      <w:tr>
        <w:trPr>
          <w:trHeight w:val="1122" w:hRule="atLeast"/>
        </w:trPr>
        <w:tc>
          <w:tcPr>
            <w:tcW w:w="8612" w:type="dxa"/>
            <w:tcBorders/>
            <w:vAlign w:val="center"/>
          </w:tcPr>
          <w:p>
            <w:pPr>
              <w:pStyle w:val="Normal"/>
              <w:overflowPunct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09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решением территориальной избирательной </w:t>
              <w:br/>
              <w:t>комиссии  Крымская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от 15 июля 2024 г. № 92/1468 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9498" w:hanging="0"/>
        <w:jc w:val="center"/>
        <w:outlineLvl w:val="5"/>
        <w:rPr>
          <w:rFonts w:ascii="Times New Roman" w:hAnsi="Times New Roman"/>
          <w:b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Крымская</w:t>
      </w:r>
    </w:p>
    <w:p>
      <w:pPr>
        <w:pStyle w:val="Normal"/>
        <w:pBdr>
          <w:top w:val="single" w:sz="4" w:space="3" w:color="000000"/>
        </w:pBdr>
        <w:spacing w:lineRule="auto" w:line="216" w:before="0" w:after="0"/>
        <w:ind w:left="992" w:right="992" w:hanging="0"/>
        <w:jc w:val="center"/>
        <w:rPr>
          <w:rFonts w:ascii="Times New Roman" w:hAnsi="Times New Roman"/>
          <w:i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jc w:val="left"/>
        <w:tblInd w:w="905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764"/>
        <w:gridCol w:w="11835"/>
      </w:tblGrid>
      <w:tr>
        <w:trPr>
          <w:trHeight w:val="414" w:hRule="atLeast"/>
        </w:trPr>
        <w:tc>
          <w:tcPr>
            <w:tcW w:w="764" w:type="dxa"/>
            <w:tcBorders/>
            <w:vAlign w:val="center"/>
          </w:tcPr>
          <w:p>
            <w:pPr>
              <w:pStyle w:val="Normal"/>
              <w:spacing w:lineRule="auto" w:line="216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835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599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>
      <w:pPr>
        <w:pStyle w:val="Normal"/>
        <w:spacing w:lineRule="auto" w:line="216" w:before="0" w:after="0"/>
        <w:rPr>
          <w:rFonts w:ascii="Times New Roman" w:hAnsi="Times New Roman"/>
          <w:b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назначенных                                                                     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</w:pBdr>
        <w:spacing w:lineRule="auto" w:line="216" w:before="0" w:after="0"/>
        <w:ind w:left="2160" w:right="567" w:firstLine="392"/>
        <w:rPr>
          <w:rFonts w:ascii="Times New Roman" w:hAnsi="Times New Roman"/>
          <w:i/>
          <w:i/>
          <w:iCs/>
          <w:sz w:val="20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p>
      <w:pPr>
        <w:pStyle w:val="Normal"/>
        <w:pBdr>
          <w:top w:val="single" w:sz="4" w:space="1" w:color="000000"/>
        </w:pBdr>
        <w:spacing w:lineRule="auto" w:line="216" w:before="0" w:after="0"/>
        <w:ind w:left="2160" w:right="567" w:firstLine="392"/>
        <w:rPr>
          <w:rFonts w:ascii="Times New Roman" w:hAnsi="Times New Roman"/>
          <w:i/>
          <w:i/>
          <w:iCs/>
          <w:sz w:val="20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4"/>
          <w:lang w:eastAsia="ru-RU"/>
        </w:rPr>
      </w:r>
    </w:p>
    <w:tbl>
      <w:tblPr>
        <w:tblW w:w="14880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65"/>
        <w:gridCol w:w="1985"/>
        <w:gridCol w:w="1559"/>
        <w:gridCol w:w="2409"/>
        <w:gridCol w:w="1844"/>
        <w:gridCol w:w="3967"/>
        <w:gridCol w:w="255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>
            <w:pPr>
              <w:pStyle w:val="Normal"/>
              <w:spacing w:lineRule="auto" w:line="216" w:before="0" w:after="0"/>
              <w:ind w:hanging="28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>
            <w:pPr>
              <w:pStyle w:val="Normal"/>
              <w:spacing w:lineRule="auto" w:line="216" w:before="0" w:after="0"/>
              <w:ind w:firstLine="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overflowPunct w:val="fals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ind w:left="318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16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*Контактный телефон указывается по желанию.</w:t>
      </w:r>
    </w:p>
    <w:p>
      <w:pPr>
        <w:pStyle w:val="Normal"/>
        <w:overflowPunct w:val="false"/>
        <w:spacing w:lineRule="auto" w:line="240" w:before="120"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/>
      </w:r>
    </w:p>
    <w:sectPr>
      <w:headerReference w:type="default" r:id="rId6"/>
      <w:headerReference w:type="first" r:id="rId7"/>
      <w:footnotePr>
        <w:numFmt w:val="decimal"/>
      </w:footnotePr>
      <w:type w:val="nextPage"/>
      <w:pgSz w:orient="landscape" w:w="16838" w:h="11906"/>
      <w:pgMar w:left="1134" w:right="1134" w:header="454" w:top="567" w:footer="0" w:bottom="567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Style25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>
        <w:r>
          <w:rPr>
            <w:rFonts w:ascii="Times New Roman" w:hAnsi="Times New Roman"/>
            <w:sz w:val="20"/>
            <w:szCs w:val="20"/>
            <w:lang w:eastAsia="ru-RU"/>
          </w:rPr>
          <w:t>пунктом 7 статьи 29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>
      <w:pPr>
        <w:pStyle w:val="Style35"/>
        <w:ind w:hanging="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072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b4fb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locked/>
    <w:rsid w:val="00eb4fba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styleId="Blk" w:customStyle="1">
    <w:name w:val="blk"/>
    <w:basedOn w:val="DefaultParagraphFont"/>
    <w:qFormat/>
    <w:rsid w:val="00eb4fba"/>
    <w:rPr>
      <w:rFonts w:cs="Times New Roman"/>
    </w:rPr>
  </w:style>
  <w:style w:type="character" w:styleId="Appleconvertedspace" w:customStyle="1">
    <w:name w:val="apple-converted-space"/>
    <w:basedOn w:val="DefaultParagraphFont"/>
    <w:qFormat/>
    <w:rsid w:val="00eb4fba"/>
    <w:rPr>
      <w:rFonts w:cs="Times New Roman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locked/>
    <w:rsid w:val="00e90dbb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locked/>
    <w:rsid w:val="00e90dbb"/>
    <w:rPr>
      <w:rFonts w:cs="Times New Roman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locked/>
    <w:rsid w:val="00e956d8"/>
    <w:rPr>
      <w:rFonts w:ascii="Tahoma" w:hAnsi="Tahoma" w:cs="Tahoma"/>
      <w:sz w:val="16"/>
      <w:szCs w:val="16"/>
    </w:rPr>
  </w:style>
  <w:style w:type="character" w:styleId="Style17" w:customStyle="1">
    <w:name w:val="Текст сноски Знак"/>
    <w:basedOn w:val="DefaultParagraphFont"/>
    <w:link w:val="ac"/>
    <w:uiPriority w:val="99"/>
    <w:qFormat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Style18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758a3"/>
    <w:rPr>
      <w:rFonts w:cs="Times New Roman"/>
      <w:vertAlign w:val="superscript"/>
    </w:rPr>
  </w:style>
  <w:style w:type="character" w:styleId="Style19" w:customStyle="1">
    <w:name w:val="Текст концевой сноски Знак"/>
    <w:basedOn w:val="DefaultParagraphFont"/>
    <w:link w:val="af"/>
    <w:uiPriority w:val="99"/>
    <w:semiHidden/>
    <w:qFormat/>
    <w:locked/>
    <w:rsid w:val="0043542f"/>
    <w:rPr>
      <w:rFonts w:cs="Times New Roman"/>
      <w:lang w:eastAsia="en-US"/>
    </w:rPr>
  </w:style>
  <w:style w:type="character" w:styleId="Style20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3542f"/>
    <w:rPr>
      <w:rFonts w:cs="Times New Roman"/>
      <w:vertAlign w:val="superscript"/>
    </w:rPr>
  </w:style>
  <w:style w:type="character" w:styleId="Style21" w:customStyle="1">
    <w:name w:val="Основной текст Знак"/>
    <w:basedOn w:val="DefaultParagraphFont"/>
    <w:link w:val="af2"/>
    <w:uiPriority w:val="99"/>
    <w:qFormat/>
    <w:locked/>
    <w:rsid w:val="00e75122"/>
    <w:rPr>
      <w:rFonts w:ascii="Times New Roman CYR" w:hAnsi="Times New Roman CYR" w:cs="Times New Roman"/>
      <w:b/>
      <w:sz w:val="3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228d"/>
    <w:rPr>
      <w:sz w:val="16"/>
      <w:szCs w:val="16"/>
    </w:rPr>
  </w:style>
  <w:style w:type="character" w:styleId="Style22" w:customStyle="1">
    <w:name w:val="Текст примечания Знак"/>
    <w:basedOn w:val="DefaultParagraphFont"/>
    <w:link w:val="af6"/>
    <w:uiPriority w:val="99"/>
    <w:semiHidden/>
    <w:qFormat/>
    <w:rsid w:val="0058228d"/>
    <w:rPr>
      <w:rFonts w:cs="Times New Roman"/>
      <w:lang w:eastAsia="en-US"/>
    </w:rPr>
  </w:style>
  <w:style w:type="character" w:styleId="Style23" w:customStyle="1">
    <w:name w:val="Тема примечания Знак"/>
    <w:basedOn w:val="Style22"/>
    <w:link w:val="af8"/>
    <w:uiPriority w:val="99"/>
    <w:semiHidden/>
    <w:qFormat/>
    <w:rsid w:val="0058228d"/>
    <w:rPr>
      <w:rFonts w:cs="Times New Roman"/>
      <w:b/>
      <w:bCs/>
      <w:lang w:eastAsia="en-US"/>
    </w:rPr>
  </w:style>
  <w:style w:type="character" w:styleId="Style24" w:customStyle="1">
    <w:name w:val="Подзаголовок Знак"/>
    <w:basedOn w:val="DefaultParagraphFont"/>
    <w:link w:val="afa"/>
    <w:uiPriority w:val="11"/>
    <w:qFormat/>
    <w:rsid w:val="00af15c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en-US"/>
    </w:rPr>
  </w:style>
  <w:style w:type="character" w:styleId="Style25">
    <w:name w:val="Символ сноски"/>
    <w:qFormat/>
    <w:rPr/>
  </w:style>
  <w:style w:type="character" w:styleId="Style26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link w:val="af3"/>
    <w:uiPriority w:val="99"/>
    <w:rsid w:val="00e75122"/>
    <w:pPr>
      <w:spacing w:lineRule="auto" w:line="240" w:before="0" w:after="0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5"/>
    <w:uiPriority w:val="99"/>
    <w:unhideWhenUsed/>
    <w:rsid w:val="00e90db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7"/>
    <w:uiPriority w:val="99"/>
    <w:unhideWhenUsed/>
    <w:rsid w:val="00e90db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6537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956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5">
    <w:name w:val="Footnote Text"/>
    <w:basedOn w:val="Normal"/>
    <w:link w:val="ad"/>
    <w:uiPriority w:val="99"/>
    <w:unhideWhenUsed/>
    <w:rsid w:val="00d758a3"/>
    <w:pPr>
      <w:overflowPunct w:val="false"/>
      <w:spacing w:lineRule="auto" w:line="240" w:before="0" w:after="0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415" w:customStyle="1">
    <w:name w:val="14-15"/>
    <w:basedOn w:val="Normal"/>
    <w:qFormat/>
    <w:rsid w:val="00d758a3"/>
    <w:pPr>
      <w:spacing w:lineRule="auto" w:line="360" w:before="0" w:after="0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Style36">
    <w:name w:val="Endnote Text"/>
    <w:basedOn w:val="Normal"/>
    <w:link w:val="af0"/>
    <w:uiPriority w:val="99"/>
    <w:semiHidden/>
    <w:unhideWhenUsed/>
    <w:rsid w:val="0043542f"/>
    <w:pPr/>
    <w:rPr>
      <w:sz w:val="20"/>
      <w:szCs w:val="20"/>
    </w:rPr>
  </w:style>
  <w:style w:type="paragraph" w:styleId="ConsPlusNormal" w:customStyle="1">
    <w:name w:val="ConsPlusNormal"/>
    <w:qFormat/>
    <w:rsid w:val="00e7349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37" w:customStyle="1">
    <w:name w:val="текст сноски"/>
    <w:basedOn w:val="Normal"/>
    <w:qFormat/>
    <w:rsid w:val="00e23ea1"/>
    <w:pPr>
      <w:widowControl w:val="false"/>
      <w:spacing w:lineRule="auto" w:line="240" w:before="0" w:after="0"/>
    </w:pPr>
    <w:rPr>
      <w:rFonts w:ascii="Times New Roman" w:hAnsi="Times New Roman"/>
      <w:sz w:val="28"/>
      <w:szCs w:val="28"/>
      <w:lang w:eastAsia="ru-RU"/>
    </w:rPr>
  </w:style>
  <w:style w:type="paragraph" w:styleId="Annotationtext">
    <w:name w:val="annotation text"/>
    <w:basedOn w:val="Normal"/>
    <w:link w:val="af7"/>
    <w:uiPriority w:val="99"/>
    <w:semiHidden/>
    <w:unhideWhenUsed/>
    <w:qFormat/>
    <w:rsid w:val="005822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9"/>
    <w:uiPriority w:val="99"/>
    <w:semiHidden/>
    <w:unhideWhenUsed/>
    <w:qFormat/>
    <w:rsid w:val="0058228d"/>
    <w:pPr/>
    <w:rPr>
      <w:b/>
      <w:bCs/>
    </w:rPr>
  </w:style>
  <w:style w:type="paragraph" w:styleId="Style38">
    <w:name w:val="Subtitle"/>
    <w:basedOn w:val="Normal"/>
    <w:next w:val="Normal"/>
    <w:link w:val="afb"/>
    <w:uiPriority w:val="11"/>
    <w:qFormat/>
    <w:rsid w:val="00af15c4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758a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15B065A19FDB1E02C5873C079B2F45AF145E893E4DCD9346DF6310694C582A26B4934400C8C25E1r2ODM" TargetMode="External"/><Relationship Id="rId3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98A0-AC7F-4C13-95C7-09FC9609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LibreOffice/6.4.7.2$Linux_X86_64 LibreOffice_project/40$Build-2</Application>
  <Pages>11</Pages>
  <Words>2140</Words>
  <Characters>15188</Characters>
  <CharactersWithSpaces>17962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2024-07-02T08:58:00Z</dcterms:created>
  <dc:creator>Хомякова Людмила Александровна</dc:creator>
  <dc:description/>
  <dc:language>ru-RU</dc:language>
  <cp:lastModifiedBy/>
  <cp:lastPrinted>2024-07-02T09:22:00Z</cp:lastPrinted>
  <dcterms:modified xsi:type="dcterms:W3CDTF">2024-07-17T16:45:03Z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