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63/836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26-52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26-52,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26-52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448"/>
        <w:gridCol w:w="5391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Геннадия Николаевича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Ксению Валерьевну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Гетьман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Аллу Викторовну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Евгеньевну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Даниленко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Александровну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Згиблую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Александровну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Позняк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Александровну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Троицкого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Сергеевну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Самуйлову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Сергеевну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Синегубову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Сергеевну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Филисеенко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Евгеньевну</w:t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8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Марию Васильевну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91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26-52.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LibreOffice/6.4.7.2$Linux_X86_64 LibreOffice_project/40$Build-2</Application>
  <Pages>3</Pages>
  <Words>393</Words>
  <Characters>2853</Characters>
  <CharactersWithSpaces>3355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2023-05-29T15:44:52Z</cp:lastPrinted>
  <dcterms:modified xsi:type="dcterms:W3CDTF">2023-05-29T15:46:54Z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