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63/748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26-08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26-08,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26-08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64"/>
        <w:gridCol w:w="5375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Багинскую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Марию Рафаиловну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Безиркянову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Ларису Николаевну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Василенко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Валентину Геннадьевну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Гордиенко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Петровну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Джелилову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Сусанну Рустемовну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Кургуз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Игоревну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Меланиди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Александровну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Мирзоеву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Анастасию Александровну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Прокопенко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Васильевича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Ротанёва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Виталия Витальевича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Стоколос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Ирину Дмитриевну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Тимченко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Евгеньевну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26-08.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LibreOffice/6.4.7.2$Linux_X86_64 LibreOffice_project/40$Build-2</Application>
  <Pages>3</Pages>
  <Words>385</Words>
  <Characters>2792</Characters>
  <CharactersWithSpaces>3286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2023-05-29T15:41:09Z</cp:lastPrinted>
  <dcterms:modified xsi:type="dcterms:W3CDTF">2023-05-29T15:41:50Z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