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DE016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D3EB0">
        <w:rPr>
          <w:rFonts w:ascii="Times New Roman" w:hAnsi="Times New Roman"/>
          <w:sz w:val="28"/>
          <w:szCs w:val="28"/>
        </w:rPr>
        <w:t xml:space="preserve"> </w:t>
      </w:r>
      <w:r w:rsidR="00EC624A">
        <w:rPr>
          <w:rFonts w:ascii="Times New Roman" w:hAnsi="Times New Roman"/>
          <w:sz w:val="28"/>
          <w:szCs w:val="28"/>
        </w:rPr>
        <w:t>августа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DE0166">
        <w:rPr>
          <w:rFonts w:ascii="Times New Roman" w:hAnsi="Times New Roman"/>
          <w:b/>
          <w:bCs/>
          <w:sz w:val="28"/>
          <w:szCs w:val="28"/>
        </w:rPr>
        <w:t>6</w:t>
      </w:r>
      <w:r w:rsidR="00932BAD">
        <w:rPr>
          <w:rFonts w:ascii="Times New Roman" w:hAnsi="Times New Roman"/>
          <w:b/>
          <w:bCs/>
          <w:sz w:val="28"/>
          <w:szCs w:val="28"/>
        </w:rPr>
        <w:t>3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0166">
        <w:rPr>
          <w:rFonts w:ascii="Times New Roman" w:hAnsi="Times New Roman" w:cs="Times New Roman"/>
          <w:bCs/>
          <w:sz w:val="27"/>
          <w:szCs w:val="27"/>
        </w:rPr>
        <w:t xml:space="preserve">Управлением </w:t>
      </w:r>
      <w:r w:rsidR="00932BAD">
        <w:rPr>
          <w:rFonts w:ascii="Times New Roman" w:hAnsi="Times New Roman" w:cs="Times New Roman"/>
          <w:bCs/>
          <w:sz w:val="27"/>
          <w:szCs w:val="27"/>
        </w:rPr>
        <w:t>культуры</w:t>
      </w:r>
      <w:r w:rsidR="00DE0166">
        <w:rPr>
          <w:rFonts w:ascii="Times New Roman" w:hAnsi="Times New Roman" w:cs="Times New Roman"/>
          <w:bCs/>
          <w:sz w:val="27"/>
          <w:szCs w:val="27"/>
        </w:rPr>
        <w:t xml:space="preserve"> администрации муниципального образования Крымский район</w:t>
      </w:r>
      <w:r w:rsidR="00AD3EB0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DE0166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932BAD" w:rsidRPr="00E96C28">
        <w:rPr>
          <w:rFonts w:ascii="Times New Roman" w:hAnsi="Times New Roman"/>
          <w:b/>
          <w:sz w:val="28"/>
          <w:szCs w:val="28"/>
        </w:rPr>
        <w:t>О внесении изменени</w:t>
      </w:r>
      <w:r w:rsidR="00932BAD">
        <w:rPr>
          <w:rFonts w:ascii="Times New Roman" w:hAnsi="Times New Roman"/>
          <w:b/>
          <w:sz w:val="28"/>
          <w:szCs w:val="28"/>
        </w:rPr>
        <w:t xml:space="preserve">й в постановление администрации </w:t>
      </w:r>
      <w:r w:rsidR="00932BAD" w:rsidRPr="00E96C28">
        <w:rPr>
          <w:rFonts w:ascii="Times New Roman" w:hAnsi="Times New Roman"/>
          <w:b/>
          <w:sz w:val="28"/>
          <w:szCs w:val="28"/>
        </w:rPr>
        <w:t>муниципального</w:t>
      </w:r>
      <w:r w:rsidR="00932BAD">
        <w:rPr>
          <w:rFonts w:ascii="Times New Roman" w:hAnsi="Times New Roman"/>
          <w:b/>
          <w:sz w:val="28"/>
          <w:szCs w:val="28"/>
        </w:rPr>
        <w:t xml:space="preserve"> </w:t>
      </w:r>
      <w:r w:rsidR="00932BAD" w:rsidRPr="00E96C28">
        <w:rPr>
          <w:rFonts w:ascii="Times New Roman" w:hAnsi="Times New Roman"/>
          <w:b/>
          <w:sz w:val="28"/>
          <w:szCs w:val="28"/>
        </w:rPr>
        <w:t>о</w:t>
      </w:r>
      <w:r w:rsidR="00932BAD" w:rsidRPr="00E96C28">
        <w:rPr>
          <w:rFonts w:ascii="Times New Roman" w:hAnsi="Times New Roman"/>
          <w:b/>
          <w:sz w:val="28"/>
          <w:szCs w:val="28"/>
        </w:rPr>
        <w:t>б</w:t>
      </w:r>
      <w:r w:rsidR="00932BAD" w:rsidRPr="00E96C28">
        <w:rPr>
          <w:rFonts w:ascii="Times New Roman" w:hAnsi="Times New Roman"/>
          <w:b/>
          <w:sz w:val="28"/>
          <w:szCs w:val="28"/>
        </w:rPr>
        <w:t>разования Крымский район от 1</w:t>
      </w:r>
      <w:r w:rsidR="00932BAD">
        <w:rPr>
          <w:rFonts w:ascii="Times New Roman" w:hAnsi="Times New Roman"/>
          <w:b/>
          <w:sz w:val="28"/>
          <w:szCs w:val="28"/>
        </w:rPr>
        <w:t>2 июля 2017</w:t>
      </w:r>
      <w:r w:rsidR="00932BAD" w:rsidRPr="00E96C28">
        <w:rPr>
          <w:rFonts w:ascii="Times New Roman" w:hAnsi="Times New Roman"/>
          <w:b/>
          <w:sz w:val="28"/>
          <w:szCs w:val="28"/>
        </w:rPr>
        <w:t xml:space="preserve"> года</w:t>
      </w:r>
      <w:r w:rsidR="00932BAD">
        <w:rPr>
          <w:rFonts w:ascii="Times New Roman" w:hAnsi="Times New Roman"/>
          <w:b/>
          <w:sz w:val="28"/>
          <w:szCs w:val="28"/>
        </w:rPr>
        <w:t xml:space="preserve"> </w:t>
      </w:r>
      <w:r w:rsidR="00932BAD" w:rsidRPr="00E96C28">
        <w:rPr>
          <w:rFonts w:ascii="Times New Roman" w:hAnsi="Times New Roman"/>
          <w:b/>
          <w:sz w:val="28"/>
          <w:szCs w:val="28"/>
        </w:rPr>
        <w:t>№</w:t>
      </w:r>
      <w:r w:rsidR="00932BAD">
        <w:rPr>
          <w:rFonts w:ascii="Times New Roman" w:hAnsi="Times New Roman"/>
          <w:b/>
          <w:sz w:val="28"/>
          <w:szCs w:val="28"/>
        </w:rPr>
        <w:t xml:space="preserve"> 1189 «</w:t>
      </w:r>
      <w:r w:rsidR="00932BAD" w:rsidRPr="0080329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по организации оказания дополнительных платных услуг населению муниципальными учреждениями культуры, подведомственными управлению культуры администрации муниципальн</w:t>
      </w:r>
      <w:r w:rsidR="00932B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образования Крымский район, </w:t>
      </w:r>
      <w:r w:rsidR="00932BAD" w:rsidRPr="0080329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перечня муниципальных учреждений культуры, подведомственных управлению культуры администрации муниципального образования Крымский район, оказывающих дополнительные платные</w:t>
      </w:r>
      <w:proofErr w:type="gramEnd"/>
      <w:r w:rsidR="00932BAD" w:rsidRPr="008032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 на территории муниципаль</w:t>
      </w:r>
      <w:r w:rsidR="00932BAD">
        <w:rPr>
          <w:rFonts w:ascii="Times New Roman" w:eastAsia="Times New Roman" w:hAnsi="Times New Roman"/>
          <w:b/>
          <w:sz w:val="28"/>
          <w:szCs w:val="28"/>
          <w:lang w:eastAsia="ru-RU"/>
        </w:rPr>
        <w:t>ного образования Крымский район,</w:t>
      </w:r>
      <w:r w:rsidR="00932BAD" w:rsidRPr="008032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порядка расчета цен (тарифов) на дополнительные платные услуги, предоставляемые муниципальными учреждениями культуры, подведомственными управлению культуры администрации муниципального образования Крымский район и прейскурантов цен на дополнительные платные услуги, предоставляемые муниц</w:t>
      </w:r>
      <w:r w:rsidR="00932B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ипальными учреждениями культуры, </w:t>
      </w:r>
      <w:r w:rsidR="00932BAD" w:rsidRPr="00803291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подведомственными управлению культуры администрации  муниципального образования Крымский район</w:t>
      </w:r>
      <w:r w:rsidR="00372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636687">
        <w:rPr>
          <w:rFonts w:ascii="Times New Roman" w:hAnsi="Times New Roman" w:cs="Times New Roman"/>
          <w:sz w:val="27"/>
          <w:szCs w:val="27"/>
        </w:rPr>
        <w:t xml:space="preserve">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                                  от </w:t>
      </w:r>
      <w:r w:rsidR="00E33E52">
        <w:rPr>
          <w:rFonts w:ascii="Times New Roman" w:hAnsi="Times New Roman" w:cs="Times New Roman"/>
          <w:sz w:val="27"/>
          <w:szCs w:val="27"/>
        </w:rPr>
        <w:t>1</w:t>
      </w:r>
      <w:r w:rsidR="00932BAD">
        <w:rPr>
          <w:rFonts w:ascii="Times New Roman" w:hAnsi="Times New Roman" w:cs="Times New Roman"/>
          <w:sz w:val="27"/>
          <w:szCs w:val="27"/>
        </w:rPr>
        <w:t>8</w:t>
      </w:r>
      <w:r w:rsidR="00E33E52">
        <w:rPr>
          <w:rFonts w:ascii="Times New Roman" w:hAnsi="Times New Roman" w:cs="Times New Roman"/>
          <w:sz w:val="27"/>
          <w:szCs w:val="27"/>
        </w:rPr>
        <w:t xml:space="preserve"> </w:t>
      </w:r>
      <w:r w:rsidR="00932BAD">
        <w:rPr>
          <w:rFonts w:ascii="Times New Roman" w:hAnsi="Times New Roman" w:cs="Times New Roman"/>
          <w:sz w:val="27"/>
          <w:szCs w:val="27"/>
        </w:rPr>
        <w:t>июля 2022 года № 86-03-2022/519</w:t>
      </w:r>
      <w:bookmarkStart w:id="0" w:name="_GoBack"/>
      <w:bookmarkEnd w:id="0"/>
      <w:r w:rsidR="00E33E52" w:rsidRPr="00E33E52">
        <w:rPr>
          <w:rFonts w:ascii="Times New Roman" w:hAnsi="Times New Roman" w:cs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E33E52" w:rsidRPr="00E33E5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E33E52" w:rsidRPr="00E33E52">
        <w:rPr>
          <w:rFonts w:ascii="Times New Roman" w:hAnsi="Times New Roman" w:cs="Times New Roman"/>
          <w:sz w:val="27"/>
          <w:szCs w:val="27"/>
        </w:rPr>
        <w:t>, не выявлено.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9C6C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52695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6CF4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2F52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37960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36687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32BAD"/>
    <w:rsid w:val="00947645"/>
    <w:rsid w:val="009557A8"/>
    <w:rsid w:val="009700E0"/>
    <w:rsid w:val="00976576"/>
    <w:rsid w:val="0099204C"/>
    <w:rsid w:val="009B65C2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A2380"/>
    <w:rsid w:val="00BC0876"/>
    <w:rsid w:val="00BC4F81"/>
    <w:rsid w:val="00C02033"/>
    <w:rsid w:val="00C064F7"/>
    <w:rsid w:val="00C15F29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0166"/>
    <w:rsid w:val="00DE19FC"/>
    <w:rsid w:val="00DF2658"/>
    <w:rsid w:val="00DF6C35"/>
    <w:rsid w:val="00E05C12"/>
    <w:rsid w:val="00E12B24"/>
    <w:rsid w:val="00E22BCF"/>
    <w:rsid w:val="00E261B3"/>
    <w:rsid w:val="00E33E52"/>
    <w:rsid w:val="00E34B22"/>
    <w:rsid w:val="00E66273"/>
    <w:rsid w:val="00E749F0"/>
    <w:rsid w:val="00E80614"/>
    <w:rsid w:val="00E84587"/>
    <w:rsid w:val="00E91A7B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6441-9062-4865-A5E2-0F255549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71</cp:revision>
  <cp:lastPrinted>2022-08-15T07:25:00Z</cp:lastPrinted>
  <dcterms:created xsi:type="dcterms:W3CDTF">2020-09-18T07:00:00Z</dcterms:created>
  <dcterms:modified xsi:type="dcterms:W3CDTF">2022-08-15T07:25:00Z</dcterms:modified>
</cp:coreProperties>
</file>