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F7257F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 августа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2487D">
        <w:rPr>
          <w:rFonts w:ascii="Times New Roman" w:hAnsi="Times New Roman"/>
          <w:b/>
          <w:bCs/>
          <w:sz w:val="28"/>
          <w:szCs w:val="28"/>
        </w:rPr>
        <w:t>11</w:t>
      </w:r>
      <w:r w:rsidR="00042DEC">
        <w:rPr>
          <w:rFonts w:ascii="Times New Roman" w:hAnsi="Times New Roman"/>
          <w:b/>
          <w:bCs/>
          <w:sz w:val="28"/>
          <w:szCs w:val="28"/>
        </w:rPr>
        <w:t>8</w:t>
      </w:r>
      <w:bookmarkStart w:id="0" w:name="_GoBack"/>
      <w:bookmarkEnd w:id="0"/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 в</w:t>
      </w:r>
      <w:r w:rsidR="001A67B4">
        <w:rPr>
          <w:rFonts w:ascii="Times New Roman" w:hAnsi="Times New Roman"/>
          <w:b/>
          <w:sz w:val="28"/>
          <w:szCs w:val="28"/>
        </w:rPr>
        <w:t xml:space="preserve">несении изменений в постановление администрации муниципального </w:t>
      </w:r>
      <w:r w:rsidR="00F7257F">
        <w:rPr>
          <w:rFonts w:ascii="Times New Roman" w:hAnsi="Times New Roman"/>
          <w:b/>
          <w:sz w:val="28"/>
          <w:szCs w:val="28"/>
        </w:rPr>
        <w:t>образования Крымский район от 22 марта 2021</w:t>
      </w:r>
      <w:r w:rsidR="001A67B4">
        <w:rPr>
          <w:rFonts w:ascii="Times New Roman" w:hAnsi="Times New Roman"/>
          <w:b/>
          <w:sz w:val="28"/>
          <w:szCs w:val="28"/>
        </w:rPr>
        <w:t xml:space="preserve"> года №</w:t>
      </w:r>
      <w:r w:rsidR="0092487D">
        <w:rPr>
          <w:rFonts w:ascii="Times New Roman" w:hAnsi="Times New Roman"/>
          <w:b/>
          <w:sz w:val="28"/>
          <w:szCs w:val="28"/>
        </w:rPr>
        <w:t xml:space="preserve"> </w:t>
      </w:r>
      <w:r w:rsidR="00F7257F">
        <w:rPr>
          <w:rFonts w:ascii="Times New Roman" w:hAnsi="Times New Roman"/>
          <w:b/>
          <w:sz w:val="28"/>
          <w:szCs w:val="28"/>
        </w:rPr>
        <w:t>630</w:t>
      </w:r>
      <w:r w:rsidR="001A67B4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F7257F">
        <w:rPr>
          <w:rFonts w:ascii="Times New Roman" w:hAnsi="Times New Roman"/>
          <w:b/>
          <w:sz w:val="28"/>
          <w:szCs w:val="28"/>
        </w:rPr>
        <w:t xml:space="preserve">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9C3212" w:rsidRPr="009C3212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EB" w:rsidRDefault="007F31EB" w:rsidP="0092487D">
      <w:pPr>
        <w:spacing w:after="0"/>
      </w:pPr>
      <w:r>
        <w:separator/>
      </w:r>
    </w:p>
  </w:endnote>
  <w:endnote w:type="continuationSeparator" w:id="0">
    <w:p w:rsidR="007F31EB" w:rsidRDefault="007F31EB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EB" w:rsidRDefault="007F31EB" w:rsidP="0092487D">
      <w:pPr>
        <w:spacing w:after="0"/>
      </w:pPr>
      <w:r>
        <w:separator/>
      </w:r>
    </w:p>
  </w:footnote>
  <w:footnote w:type="continuationSeparator" w:id="0">
    <w:p w:rsidR="007F31EB" w:rsidRDefault="007F31EB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42DEC"/>
    <w:rsid w:val="00057035"/>
    <w:rsid w:val="00057A62"/>
    <w:rsid w:val="000763C6"/>
    <w:rsid w:val="00077BAC"/>
    <w:rsid w:val="000A755F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C1299"/>
    <w:rsid w:val="00407074"/>
    <w:rsid w:val="0041404F"/>
    <w:rsid w:val="004270E6"/>
    <w:rsid w:val="00431CCF"/>
    <w:rsid w:val="00481097"/>
    <w:rsid w:val="00484C41"/>
    <w:rsid w:val="004917D2"/>
    <w:rsid w:val="004950C2"/>
    <w:rsid w:val="004B24F6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7F31EB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2021-07-15T13:26:00Z</cp:lastPrinted>
  <dcterms:created xsi:type="dcterms:W3CDTF">2021-03-18T12:56:00Z</dcterms:created>
  <dcterms:modified xsi:type="dcterms:W3CDTF">2021-08-16T11:22:00Z</dcterms:modified>
</cp:coreProperties>
</file>