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"/>
        <w:gridCol w:w="3349"/>
        <w:gridCol w:w="1896"/>
        <w:gridCol w:w="1464"/>
        <w:gridCol w:w="2646"/>
        <w:gridCol w:w="14"/>
        <w:gridCol w:w="2660"/>
      </w:tblGrid>
      <w:tr w:rsidR="00550BAE" w:rsidRPr="007321D2" w14:paraId="2045F4C9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EF13" w14:textId="77777777" w:rsidR="00550BAE" w:rsidRPr="00223C1E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C7734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before="108" w:after="108" w:line="21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550BAE" w:rsidRPr="007321D2" w14:paraId="39D09A0E" w14:textId="77777777" w:rsidTr="00FE0863">
        <w:trPr>
          <w:gridAfter w:val="1"/>
          <w:wAfter w:w="2660" w:type="dxa"/>
          <w:trHeight w:val="276"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C9644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0" w:name="sub_2001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77C07FB" w14:textId="77777777" w:rsidR="00C208D5" w:rsidRPr="007321D2" w:rsidRDefault="00C208D5" w:rsidP="00C208D5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Администрация муниципального образования Крымский район</w:t>
            </w:r>
          </w:p>
          <w:p w14:paraId="5839BB3B" w14:textId="1C4B2252" w:rsidR="00550BAE" w:rsidRPr="007321D2" w:rsidRDefault="00C208D5" w:rsidP="00C208D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(наименование органа, принимающего решение об установлении публичного сервитута)</w:t>
            </w:r>
          </w:p>
        </w:tc>
      </w:tr>
      <w:tr w:rsidR="00550BAE" w:rsidRPr="007321D2" w14:paraId="446B0C23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D9D7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" w:name="sub_2002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BBCE8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57969" w:rsidRPr="007321D2" w14:paraId="7FBA2CBB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7E4B" w14:textId="77777777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" w:name="sub_2021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EC72" w14:textId="77777777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5AC26" w14:textId="5385E67E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Россети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Кубань»</w:t>
            </w:r>
          </w:p>
        </w:tc>
      </w:tr>
      <w:tr w:rsidR="00057969" w:rsidRPr="007321D2" w14:paraId="3EAEC8F3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699" w14:textId="77777777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3" w:name="sub_2022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1E61" w14:textId="77777777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93E11" w14:textId="355CC933" w:rsidR="00057969" w:rsidRPr="007321D2" w:rsidRDefault="00057969" w:rsidP="0005796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ПАО «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Россети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Кубань»</w:t>
            </w:r>
          </w:p>
        </w:tc>
      </w:tr>
      <w:tr w:rsidR="00550BAE" w:rsidRPr="007321D2" w14:paraId="728EE145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E3A6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4" w:name="sub_2023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3B2F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458C8" w14:textId="77777777" w:rsidR="00550BAE" w:rsidRPr="007321D2" w:rsidRDefault="00D92AF0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550BAE" w:rsidRPr="007321D2" w14:paraId="4D502D35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147E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5" w:name="sub_2024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0C80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C6589" w14:textId="54844853" w:rsidR="00550BAE" w:rsidRPr="007321D2" w:rsidRDefault="00814EE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350033, Краснодар,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ул.Ставропольская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2А</w:t>
            </w:r>
          </w:p>
        </w:tc>
      </w:tr>
      <w:tr w:rsidR="00550BAE" w:rsidRPr="007321D2" w14:paraId="68BAEC0D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2E70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6" w:name="sub_2025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2C8C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AEB0A2" w14:textId="6544505B" w:rsidR="00550BAE" w:rsidRPr="007321D2" w:rsidRDefault="00814EE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350033, Краснодар,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ул.Ставропольская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2А</w:t>
            </w:r>
          </w:p>
        </w:tc>
      </w:tr>
      <w:tr w:rsidR="00550BAE" w:rsidRPr="007321D2" w14:paraId="338E0EE9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92B6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7" w:name="sub_2026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4C7F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6920E" w14:textId="4F152364" w:rsidR="00550BAE" w:rsidRPr="007321D2" w:rsidRDefault="00F25C8A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telet@kuben.elektra.ru</w:t>
            </w:r>
          </w:p>
        </w:tc>
      </w:tr>
      <w:tr w:rsidR="00550BAE" w:rsidRPr="007321D2" w14:paraId="5AEFEF9D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C2BB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8" w:name="sub_2027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61B7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ОГРН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E84F7" w14:textId="4B81CBB1" w:rsidR="00550BAE" w:rsidRPr="007321D2" w:rsidRDefault="00F25C8A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1022301427268</w:t>
            </w:r>
          </w:p>
        </w:tc>
      </w:tr>
      <w:tr w:rsidR="00550BAE" w:rsidRPr="007321D2" w14:paraId="68A17FDC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4BDA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9" w:name="sub_2028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0AA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604C3" w14:textId="3EB49E7B" w:rsidR="00550BAE" w:rsidRPr="007321D2" w:rsidRDefault="00F25C8A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2309001660</w:t>
            </w:r>
          </w:p>
        </w:tc>
      </w:tr>
      <w:tr w:rsidR="00550BAE" w:rsidRPr="007321D2" w14:paraId="0FD64A8D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FEA7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0" w:name="sub_2003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01D70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550BAE" w:rsidRPr="007321D2" w14:paraId="5179C3E1" w14:textId="77777777" w:rsidTr="00FE0863">
        <w:trPr>
          <w:gridAfter w:val="1"/>
          <w:wAfter w:w="266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6B640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1" w:name="sub_2031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8379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2AB12" w14:textId="06BA9A93" w:rsidR="00550BAE" w:rsidRPr="007321D2" w:rsidRDefault="000378F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Головнев</w:t>
            </w:r>
          </w:p>
        </w:tc>
      </w:tr>
      <w:tr w:rsidR="00550BAE" w:rsidRPr="007321D2" w14:paraId="4B48F9F5" w14:textId="77777777" w:rsidTr="00FE0863">
        <w:trPr>
          <w:gridAfter w:val="1"/>
          <w:wAfter w:w="2660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6FC5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B06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Имя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BA294" w14:textId="4672CC57" w:rsidR="00550BAE" w:rsidRPr="007321D2" w:rsidRDefault="000378F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Андрей</w:t>
            </w:r>
            <w:r w:rsidR="00814EEB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550BAE" w:rsidRPr="007321D2" w14:paraId="5CAB462A" w14:textId="77777777" w:rsidTr="00FE0863">
        <w:trPr>
          <w:gridAfter w:val="1"/>
          <w:wAfter w:w="2660" w:type="dxa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FEF3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8D0B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D8D87" w14:textId="78F2EDFE" w:rsidR="00550BAE" w:rsidRPr="007321D2" w:rsidRDefault="000378F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Сергеевич</w:t>
            </w:r>
          </w:p>
        </w:tc>
      </w:tr>
      <w:tr w:rsidR="00550BAE" w:rsidRPr="007321D2" w14:paraId="670E2B32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9618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2" w:name="sub_2032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  <w:bookmarkEnd w:id="12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295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00C20" w14:textId="1D0E4ADE" w:rsidR="00550BAE" w:rsidRPr="007321D2" w:rsidRDefault="000378F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golovnev_as@geoii.ru</w:t>
            </w:r>
          </w:p>
        </w:tc>
      </w:tr>
      <w:tr w:rsidR="00550BAE" w:rsidRPr="007321D2" w14:paraId="63AEFA74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1BDF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3" w:name="sub_2033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  <w:bookmarkEnd w:id="13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F367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Телефон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7BBDE" w14:textId="77F21AC8" w:rsidR="00550BAE" w:rsidRPr="007321D2" w:rsidRDefault="000378FB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 xml:space="preserve">8 </w:t>
            </w:r>
            <w:r w:rsidR="00F25C8A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918</w:t>
            </w:r>
            <w:r w:rsidR="00F25C8A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)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358-46-33</w:t>
            </w:r>
          </w:p>
        </w:tc>
      </w:tr>
      <w:tr w:rsidR="00550BAE" w:rsidRPr="007321D2" w14:paraId="0335ED2D" w14:textId="77777777" w:rsidTr="00FE0863">
        <w:trPr>
          <w:gridAfter w:val="1"/>
          <w:wAfter w:w="2660" w:type="dxa"/>
          <w:trHeight w:val="69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26EE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4" w:name="sub_2034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  <w:bookmarkEnd w:id="14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5CCA" w14:textId="77777777" w:rsidR="00550BAE" w:rsidRPr="007321D2" w:rsidRDefault="00550BAE" w:rsidP="00F45B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938A" w14:textId="78D26308" w:rsidR="00550BAE" w:rsidRPr="007321D2" w:rsidRDefault="007F376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Доверенность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23 АА № 9821214 от 14.02.2020 г.</w:t>
            </w:r>
          </w:p>
        </w:tc>
      </w:tr>
      <w:tr w:rsidR="00550BAE" w:rsidRPr="007321D2" w14:paraId="5D010099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9B3C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5" w:name="sub_2004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</w:t>
            </w:r>
            <w:bookmarkEnd w:id="15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81600" w14:textId="6E65CAD8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 w:rsidR="008E610B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земельных участков </w:t>
            </w:r>
            <w:r w:rsidR="00AC6016" w:rsidRPr="007321D2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в</w:t>
            </w:r>
            <w:r w:rsidR="00AC6016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AC6016" w:rsidRPr="007321D2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целях размещения объектов электросетевого хозяйства, их неотъемлемых технологических частей</w:t>
            </w:r>
            <w:r w:rsidR="0091154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6B63A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</w:t>
            </w:r>
            <w:r w:rsidR="0091154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 1 ст. 39.37 «Земельного кодекса Российской Федерации» от 25.10.2001 г. №136-ФЗ</w:t>
            </w:r>
            <w:r w:rsidR="006B63A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(далее – ЗК РФ</w:t>
            </w:r>
            <w:r w:rsidR="0091154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</w:p>
        </w:tc>
      </w:tr>
      <w:tr w:rsidR="00550BAE" w:rsidRPr="007321D2" w14:paraId="3A7742FF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DE81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6" w:name="sub_2005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5</w:t>
            </w:r>
            <w:bookmarkEnd w:id="16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4A414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Испрашиваемый срок публичного сервитута </w:t>
            </w:r>
            <w:r w:rsidR="000F73A3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8E610B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49 лет</w:t>
            </w:r>
            <w:r w:rsidR="00911547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(п. 1 ст. 39.45 ЗК РФ)</w:t>
            </w:r>
          </w:p>
        </w:tc>
      </w:tr>
      <w:tr w:rsidR="00550BAE" w:rsidRPr="007321D2" w14:paraId="44E6E995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FF2A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7" w:name="sub_2006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6</w:t>
            </w:r>
            <w:bookmarkEnd w:id="17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45C82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325DC0EB" w14:textId="03E17124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 Шк7 </w:t>
            </w:r>
            <w:r w:rsidR="00AC6016" w:rsidRPr="007321D2">
              <w:rPr>
                <w:rFonts w:ascii="Times New Roman CYR" w:eastAsiaTheme="minorEastAsia" w:hAnsi="Times New Roman CYR" w:cs="Times New Roman CYR"/>
                <w:b/>
                <w:bCs/>
                <w:color w:val="auto"/>
              </w:rPr>
              <w:t>местного значения</w:t>
            </w:r>
            <w:r w:rsidR="00AC6016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, а так же </w:t>
            </w:r>
            <w:r w:rsidR="00AC6016" w:rsidRPr="007321D2">
              <w:rPr>
                <w:rFonts w:ascii="Times New Roman" w:eastAsiaTheme="minorEastAsia" w:hAnsi="Times New Roman" w:cs="Times New Roman"/>
                <w:b/>
                <w:bCs/>
                <w:color w:val="auto"/>
                <w:lang w:bidi="ar-SA"/>
              </w:rPr>
              <w:t>существующий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(год ввода в эксплуатацию(постройки) – </w:t>
            </w:r>
            <w:r w:rsidR="005E2C94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1966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г.),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      </w:r>
          </w:p>
          <w:p w14:paraId="1481715E" w14:textId="51BEBB1B" w:rsidR="00ED261F" w:rsidRPr="007321D2" w:rsidRDefault="00730A8F" w:rsidP="00730A8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зависит от объема работ).</w:t>
            </w:r>
          </w:p>
        </w:tc>
      </w:tr>
      <w:tr w:rsidR="00550BAE" w:rsidRPr="007321D2" w14:paraId="5B9BEDF2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C913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8" w:name="sub_2007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</w:t>
            </w:r>
            <w:bookmarkEnd w:id="18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F4DD5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6299D0A6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 – передаточный акт от 03.12.2007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описью,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1E65C34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3D6BFFF2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321D2">
              <w:rPr>
                <w:rFonts w:ascii="Times New Roman" w:eastAsia="Times New Roman" w:hAnsi="Times New Roman" w:cs="Times New Roman"/>
                <w:u w:val="single"/>
              </w:rPr>
              <w:lastRenderedPageBreak/>
              <w:t>Необходимость обеспечения безопасной эксплуатации инженерного сооружения, в целях</w:t>
            </w:r>
            <w:r w:rsidRPr="007321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21D2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      </w:r>
          </w:p>
          <w:p w14:paraId="7346C492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7CF01730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1B679E9" w14:textId="38DE31FF" w:rsidR="00730A8F" w:rsidRPr="007321D2" w:rsidRDefault="00730A8F" w:rsidP="00730A8F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 Шк7 </w:t>
            </w:r>
            <w:r w:rsidR="00DB5A25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(год ввода в эксплуатацию(постройки) – </w:t>
            </w:r>
            <w:r w:rsidR="005E2C94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1966 </w:t>
            </w:r>
            <w:r w:rsidR="00DB5A25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г.)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и относится к движимому имуществу, следовательно, право собственности на него возникло в момент завершения его строительства (постройки) (в силу Гражданского кодекса РСФСР, утв. ВС РСФСР 11.06.1964 года).</w:t>
            </w:r>
          </w:p>
          <w:p w14:paraId="706FA1A7" w14:textId="4ED8D812" w:rsidR="00730A8F" w:rsidRPr="007321D2" w:rsidRDefault="00730A8F" w:rsidP="00730A8F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 Шк7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14:paraId="059984D9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6D8A3200" w14:textId="77777777" w:rsidR="00730A8F" w:rsidRPr="007321D2" w:rsidRDefault="00730A8F" w:rsidP="00730A8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Учитывая вышеизложенное, размер публичного сервитута для эксплуатации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1961E507" w14:textId="144CE649" w:rsidR="00550BAE" w:rsidRPr="007321D2" w:rsidRDefault="00730A8F" w:rsidP="006B333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6B333B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справке о балансовой принадлежности от 23.10.2019 № 652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., напряжение объекта </w:t>
            </w:r>
            <w:r w:rsidR="00C57269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Шк7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373AAB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размер 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</w:tc>
      </w:tr>
      <w:tr w:rsidR="00550BAE" w:rsidRPr="007321D2" w14:paraId="33FA98A7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43CB" w14:textId="77777777" w:rsidR="00550BAE" w:rsidRPr="007321D2" w:rsidRDefault="00550BAE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19" w:name="sub_2008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8</w:t>
            </w:r>
            <w:bookmarkEnd w:id="19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0FB07" w14:textId="6E6CF5FD" w:rsidR="00E5118A" w:rsidRPr="007321D2" w:rsidRDefault="00E5118A" w:rsidP="00E511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7321D2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государственных или муниципальных нужд)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</w:rPr>
              <w:t xml:space="preserve"> Шк7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(год завершения строительства) – </w:t>
            </w:r>
            <w:r w:rsidR="005E2C94"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1966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 и относится к движимому имуществу, следовательно, право собственности на него возникло в момент завершения его строительства (постройки) (в силу Гражданского кодекса РСФСР, утв. ВС РСФСР 11.06.1964 года).</w:t>
            </w:r>
          </w:p>
          <w:p w14:paraId="506B0062" w14:textId="5B5D2B46" w:rsidR="00766D0B" w:rsidRPr="007321D2" w:rsidRDefault="00E5118A" w:rsidP="003C28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Так как объект электросетевого хозяйства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u w:val="single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u w:val="single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u w:val="single"/>
              </w:rPr>
              <w:t xml:space="preserve"> Шк7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существующий и не требует реконструкции, сведения, указанные в </w:t>
            </w:r>
            <w:proofErr w:type="spellStart"/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7E1AE3" w:rsidRPr="007321D2" w14:paraId="1E3F24E4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914" w14:textId="1F4441D9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bookmarkStart w:id="20" w:name="sub_2009"/>
            <w:r w:rsidRPr="007321D2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lastRenderedPageBreak/>
              <w:t>9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DF9A" w14:textId="03E5CF65" w:rsidR="007E1AE3" w:rsidRPr="007321D2" w:rsidRDefault="007E1AE3" w:rsidP="007E1AE3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00E5" w14:textId="237D4316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565EE">
              <w:rPr>
                <w:rFonts w:ascii="Times New Roman" w:eastAsia="Times New Roman" w:hAnsi="Times New Roman" w:cs="Times New Roman"/>
              </w:rPr>
              <w:t>23:00:0000000:249</w:t>
            </w:r>
            <w:r w:rsidR="00485246" w:rsidRPr="007565EE">
              <w:rPr>
                <w:rFonts w:ascii="Times New Roman" w:eastAsia="Times New Roman" w:hAnsi="Times New Roman" w:cs="Times New Roman"/>
              </w:rPr>
              <w:t xml:space="preserve"> (</w:t>
            </w:r>
            <w:r w:rsidR="00485246" w:rsidRPr="007565EE">
              <w:rPr>
                <w:rFonts w:ascii="Times New Roman" w:eastAsia="Times New Roman" w:hAnsi="Times New Roman" w:cs="Times New Roman"/>
              </w:rPr>
              <w:t>23:15:0109000:17, 23:15:0109000:130</w:t>
            </w:r>
            <w:r w:rsidR="00485246" w:rsidRPr="007565E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E1AE3" w:rsidRPr="007321D2" w14:paraId="41B48BD8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3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E2E" w14:textId="055F318A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31F" w14:textId="036DFAA6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A235" w14:textId="52C5483D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23:15:0108001:555</w:t>
            </w:r>
          </w:p>
        </w:tc>
      </w:tr>
      <w:tr w:rsidR="007E1AE3" w:rsidRPr="007321D2" w14:paraId="670056A6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58C0" w14:textId="611291BF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38A" w14:textId="73F4E137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7D4B" w14:textId="75713103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23:15:0108001:554</w:t>
            </w:r>
          </w:p>
        </w:tc>
      </w:tr>
      <w:tr w:rsidR="007E1AE3" w:rsidRPr="007321D2" w14:paraId="37947F9B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52F" w14:textId="701BBACE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E9C" w14:textId="5E249BBF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ABE7" w14:textId="12722CAA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23:15:0108001:494</w:t>
            </w:r>
          </w:p>
        </w:tc>
      </w:tr>
      <w:tr w:rsidR="007E1AE3" w:rsidRPr="007321D2" w14:paraId="32677C10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2A1C" w14:textId="5592C4F5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4FA" w14:textId="4628497F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EEBC" w14:textId="412830E0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23:15:0108001:487</w:t>
            </w:r>
          </w:p>
        </w:tc>
      </w:tr>
      <w:tr w:rsidR="007E1AE3" w:rsidRPr="007321D2" w14:paraId="4101E4E7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3C84" w14:textId="2B6B4997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177" w14:textId="4819717E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B015" w14:textId="3DE7E747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23:15:0108001:451</w:t>
            </w:r>
          </w:p>
        </w:tc>
      </w:tr>
      <w:tr w:rsidR="007E1AE3" w:rsidRPr="007321D2" w14:paraId="3EAB8424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5281" w14:textId="252191CA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783" w14:textId="4F898269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7C5B" w14:textId="04A069D6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23:15:0108001:204</w:t>
            </w:r>
          </w:p>
        </w:tc>
      </w:tr>
      <w:tr w:rsidR="007E1AE3" w:rsidRPr="007321D2" w14:paraId="07A80898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966" w14:textId="2C4C5709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377" w14:textId="07F87B13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7E45" w14:textId="1908DE75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23:15:0108001:19</w:t>
            </w:r>
          </w:p>
        </w:tc>
      </w:tr>
      <w:tr w:rsidR="007E1AE3" w:rsidRPr="007321D2" w14:paraId="2212C530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556E" w14:textId="372DC5A0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F3A" w14:textId="735304A2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3DFD" w14:textId="044AEC53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23:15:0108001:171</w:t>
            </w:r>
          </w:p>
        </w:tc>
      </w:tr>
      <w:tr w:rsidR="007E1AE3" w:rsidRPr="007321D2" w14:paraId="5B4CA49E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7B5" w14:textId="2FB4CE30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C95C" w14:textId="02E9E40C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704B" w14:textId="4958DA02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23:15:0108001:170</w:t>
            </w:r>
          </w:p>
        </w:tc>
      </w:tr>
      <w:tr w:rsidR="007E1AE3" w:rsidRPr="007321D2" w14:paraId="25F8961A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2FA8" w14:textId="2F4BB35F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118F" w14:textId="7C516D7C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4009" w14:textId="70B05EDB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23:15:0109000:92</w:t>
            </w:r>
          </w:p>
        </w:tc>
      </w:tr>
      <w:tr w:rsidR="007E1AE3" w:rsidRPr="007321D2" w14:paraId="45FC0E49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E99" w14:textId="2B8BFE77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848A" w14:textId="686C364D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7D9F" w14:textId="3933F97C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23:15:0109000:91</w:t>
            </w:r>
          </w:p>
        </w:tc>
      </w:tr>
      <w:tr w:rsidR="007E1AE3" w:rsidRPr="007321D2" w14:paraId="60C31648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1F8" w14:textId="55A04C33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3EC" w14:textId="0DE70F20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3641" w14:textId="19F6E2B1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23:15:0109000:362</w:t>
            </w:r>
          </w:p>
        </w:tc>
      </w:tr>
      <w:tr w:rsidR="007E1AE3" w:rsidRPr="007321D2" w14:paraId="2D56A4E6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53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A9D" w14:textId="68556918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166F" w14:textId="0ABB9A32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9283" w14:textId="2F634F35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23:15:0109000:243</w:t>
            </w:r>
          </w:p>
        </w:tc>
      </w:tr>
      <w:tr w:rsidR="007E1AE3" w:rsidRPr="007321D2" w14:paraId="527FFF98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61F" w14:textId="526D4EEB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29D" w14:textId="2906D773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6238" w14:textId="0FE272DB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23:15:0109000:105</w:t>
            </w:r>
          </w:p>
        </w:tc>
      </w:tr>
      <w:tr w:rsidR="007E1AE3" w:rsidRPr="007321D2" w14:paraId="5481306D" w14:textId="77777777" w:rsidTr="007E1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674" w:type="dxa"/>
          <w:trHeight w:val="345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C5E8" w14:textId="77777777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12095" w14:textId="77777777" w:rsidR="007E1AE3" w:rsidRPr="007321D2" w:rsidRDefault="007E1AE3" w:rsidP="007E1AE3">
            <w:pPr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E306" w14:textId="7D5D03C9" w:rsidR="007E1AE3" w:rsidRPr="007321D2" w:rsidRDefault="007E1AE3" w:rsidP="007E1AE3">
            <w:pPr>
              <w:widowControl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="Times New Roman" w:hAnsi="Times New Roman" w:cs="Times New Roman"/>
              </w:rPr>
              <w:t>23:15:0109000:104</w:t>
            </w:r>
          </w:p>
        </w:tc>
      </w:tr>
      <w:tr w:rsidR="00540B13" w:rsidRPr="007321D2" w14:paraId="6068FD5C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7C13" w14:textId="77777777" w:rsidR="00EE7230" w:rsidRPr="007321D2" w:rsidRDefault="00D24B37" w:rsidP="00223C1E">
            <w:pPr>
              <w:autoSpaceDE w:val="0"/>
              <w:autoSpaceDN w:val="0"/>
              <w:adjustRightInd w:val="0"/>
              <w:spacing w:line="216" w:lineRule="auto"/>
              <w:jc w:val="both"/>
            </w:pPr>
            <w:bookmarkStart w:id="21" w:name="sub_2010"/>
            <w:bookmarkEnd w:id="20"/>
            <w:r w:rsidRPr="007321D2">
              <w:br w:type="page"/>
            </w:r>
          </w:p>
          <w:p w14:paraId="5500FE88" w14:textId="11DA47A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bookmarkEnd w:id="21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18285" w14:textId="039665BA" w:rsidR="00EE7230" w:rsidRPr="007321D2" w:rsidRDefault="00540B13" w:rsidP="003C28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</w:tc>
      </w:tr>
      <w:tr w:rsidR="00540B13" w:rsidRPr="007321D2" w14:paraId="216CB445" w14:textId="77777777" w:rsidTr="00193E07">
        <w:trPr>
          <w:trHeight w:val="257"/>
        </w:trPr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CC927B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2" w:name="sub_2011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11</w:t>
            </w:r>
            <w:bookmarkEnd w:id="22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D7968" w14:textId="3BC939C8" w:rsidR="00223C1E" w:rsidRPr="007321D2" w:rsidRDefault="00540B13" w:rsidP="003C287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14:paraId="06B751BE" w14:textId="77777777" w:rsidR="00540B13" w:rsidRPr="007321D2" w:rsidRDefault="00540B13" w:rsidP="00613CD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1C79A06" w14:textId="77777777" w:rsidR="00540B13" w:rsidRPr="007321D2" w:rsidRDefault="00540B13" w:rsidP="00613CD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40B13" w:rsidRPr="007321D2" w14:paraId="621A46D3" w14:textId="77777777" w:rsidTr="00193E07">
        <w:trPr>
          <w:gridAfter w:val="1"/>
          <w:wAfter w:w="2660" w:type="dxa"/>
          <w:trHeight w:val="265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779B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6C85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103C8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14:paraId="27AAE4DA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</w:t>
            </w:r>
          </w:p>
        </w:tc>
      </w:tr>
      <w:tr w:rsidR="00540B13" w:rsidRPr="007321D2" w14:paraId="1D2F7C14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FF5F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9682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ADF82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14:paraId="049D2F62" w14:textId="7FC411E4" w:rsidR="00540B13" w:rsidRPr="007321D2" w:rsidRDefault="00BF6E21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</w:t>
            </w:r>
          </w:p>
        </w:tc>
      </w:tr>
      <w:tr w:rsidR="00540B13" w:rsidRPr="007321D2" w14:paraId="7C516819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BB96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3" w:name="sub_2012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12</w:t>
            </w:r>
            <w:bookmarkEnd w:id="23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7FCF8" w14:textId="77777777" w:rsidR="00BF6CEE" w:rsidRPr="007321D2" w:rsidRDefault="00BF6CEE" w:rsidP="00DE50C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B50A091" w14:textId="77777777" w:rsidR="00BF6CEE" w:rsidRPr="007321D2" w:rsidRDefault="00BF6CEE" w:rsidP="00DE50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21BCB620" w14:textId="1ED283A0" w:rsidR="00BF6CEE" w:rsidRPr="007321D2" w:rsidRDefault="00A0369F" w:rsidP="00DE50C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bookmarkStart w:id="24" w:name="_Hlk11406992"/>
            <w:r w:rsidR="00DE50C4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Справка о балансовой принадлежности от 23.10.2019 № 652 - на 1 л. в 1 экз.</w:t>
            </w:r>
          </w:p>
          <w:bookmarkEnd w:id="24"/>
          <w:p w14:paraId="5FA3BA2C" w14:textId="63F7E848" w:rsidR="00BF6CEE" w:rsidRPr="007321D2" w:rsidRDefault="00A0369F" w:rsidP="00DE50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Доверенность </w:t>
            </w:r>
            <w:r w:rsidR="009A2DDF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14.02.2020 г. 23АА9821214 </w:t>
            </w:r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 (</w:t>
            </w:r>
            <w:proofErr w:type="spellStart"/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272A0DF1" w14:textId="66BE44F9" w:rsidR="00BF6CEE" w:rsidRPr="007321D2" w:rsidRDefault="00A0369F" w:rsidP="00DE50C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BF6CEE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25AB3CA6" w14:textId="77777777" w:rsidR="00540B13" w:rsidRPr="007321D2" w:rsidRDefault="00BF6CEE" w:rsidP="00DE50C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ВЛ 10 </w:t>
            </w:r>
            <w:proofErr w:type="spellStart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C57269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Шк7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(год ввода в эксплуатацию – </w:t>
            </w:r>
            <w:r w:rsidR="005E2C94"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1966 </w:t>
            </w: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г.), 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14:paraId="45D4D6A6" w14:textId="4996C508" w:rsidR="00BF6E21" w:rsidRDefault="00DE50C4" w:rsidP="003C2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5)</w:t>
            </w:r>
            <w:r w:rsidR="00BF6E21" w:rsidRPr="007321D2">
              <w:rPr>
                <w:rFonts w:ascii="Times New Roman CYR" w:hAnsi="Times New Roman CYR" w:cs="Times New Roman CYR"/>
              </w:rPr>
              <w:t>Изменения в Устав Публичного акционерного общества энергетики и электрификации Кубани от 10.08.2020г. - на 1 л. в 1 экз.;</w:t>
            </w:r>
          </w:p>
          <w:p w14:paraId="3811B07B" w14:textId="77777777" w:rsidR="00193E07" w:rsidRPr="007321D2" w:rsidRDefault="00193E07" w:rsidP="003C287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14:paraId="20587371" w14:textId="50AF4167" w:rsidR="00BF6E21" w:rsidRPr="007321D2" w:rsidRDefault="003C2870" w:rsidP="00BF6E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</w:t>
            </w:r>
            <w:r w:rsidR="00BF6E21" w:rsidRPr="007321D2">
              <w:rPr>
                <w:rFonts w:ascii="Times New Roman CYR" w:hAnsi="Times New Roman CYR" w:cs="Times New Roman CYR"/>
              </w:rPr>
              <w:t>) Лист записи из Единого государственного реестра юридических лиц от 11.08.2020г. - на 1 л. в 1 экз.;</w:t>
            </w:r>
          </w:p>
        </w:tc>
      </w:tr>
      <w:tr w:rsidR="00540B13" w:rsidRPr="007321D2" w14:paraId="6DD3AF41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42C" w14:textId="77777777" w:rsidR="00540B13" w:rsidRPr="007321D2" w:rsidRDefault="00540B13" w:rsidP="00F45B2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5" w:name="sub_2013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3706" w14:textId="77777777" w:rsidR="00540B13" w:rsidRPr="007321D2" w:rsidRDefault="00540B13" w:rsidP="00F45B21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540B13" w:rsidRPr="007321D2" w14:paraId="3334359C" w14:textId="77777777" w:rsidTr="00FE08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4CA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6" w:name="sub_2014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14</w:t>
            </w:r>
            <w:bookmarkEnd w:id="26"/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240A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" w:history="1">
              <w:r w:rsidRPr="007321D2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статьей 39.41</w:t>
              </w:r>
            </w:hyperlink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14:paraId="40C07ACF" w14:textId="77777777" w:rsidR="00540B13" w:rsidRPr="007321D2" w:rsidRDefault="00540B13" w:rsidP="00613CD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540B13" w:rsidRPr="007321D2" w14:paraId="18446F1D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66A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27" w:name="sub_2015"/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B0F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Подпись: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1D50" w14:textId="77777777" w:rsidR="00540B13" w:rsidRPr="007321D2" w:rsidRDefault="00540B13" w:rsidP="00223C1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Дата:</w:t>
            </w:r>
          </w:p>
        </w:tc>
      </w:tr>
      <w:tr w:rsidR="00433057" w:rsidRPr="00550BAE" w14:paraId="691273BE" w14:textId="77777777" w:rsidTr="00FE0863">
        <w:trPr>
          <w:gridAfter w:val="1"/>
          <w:wAfter w:w="2660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857" w14:textId="77777777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1D5A9" w14:textId="77777777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___________</w:t>
            </w:r>
          </w:p>
          <w:p w14:paraId="37582C46" w14:textId="54BE9820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(подпись)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ED479" w14:textId="77777777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u w:val="single"/>
                <w:lang w:eastAsia="en-US" w:bidi="ar-SA"/>
              </w:rPr>
            </w:pPr>
            <w:proofErr w:type="gramStart"/>
            <w:r w:rsidRPr="007321D2">
              <w:rPr>
                <w:rFonts w:ascii="Times New Roman" w:eastAsiaTheme="minorEastAsia" w:hAnsi="Times New Roman" w:cs="Times New Roman"/>
                <w:color w:val="auto"/>
                <w:u w:val="single"/>
                <w:lang w:eastAsia="en-US" w:bidi="ar-SA"/>
              </w:rPr>
              <w:t>Головнев  А.С.</w:t>
            </w:r>
            <w:proofErr w:type="gramEnd"/>
          </w:p>
          <w:p w14:paraId="3589FF6C" w14:textId="77777777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  <w:r w:rsidRPr="007321D2"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  <w:t>(инициалы, фамилия)</w:t>
            </w:r>
          </w:p>
          <w:p w14:paraId="4A2F6FDE" w14:textId="2A992CB4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EE97" w14:textId="77777777" w:rsidR="00433057" w:rsidRPr="007321D2" w:rsidRDefault="00433057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eastAsia="en-US" w:bidi="ar-SA"/>
              </w:rPr>
            </w:pPr>
          </w:p>
          <w:p w14:paraId="18E37529" w14:textId="4FC1B1AD" w:rsidR="00433057" w:rsidRPr="00223C1E" w:rsidRDefault="007F3763" w:rsidP="0043305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7321D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"14" декабря 2020 г</w:t>
            </w:r>
          </w:p>
        </w:tc>
      </w:tr>
    </w:tbl>
    <w:p w14:paraId="03EF35AA" w14:textId="77777777" w:rsidR="00431CDC" w:rsidRDefault="00431CDC" w:rsidP="00F45B21"/>
    <w:sectPr w:rsidR="00431CDC" w:rsidSect="00D24B37">
      <w:pgSz w:w="11906" w:h="16838"/>
      <w:pgMar w:top="709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8724B"/>
    <w:multiLevelType w:val="hybridMultilevel"/>
    <w:tmpl w:val="0B3E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EAF"/>
    <w:multiLevelType w:val="hybridMultilevel"/>
    <w:tmpl w:val="CC5C9922"/>
    <w:lvl w:ilvl="0" w:tplc="285498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C6208"/>
    <w:multiLevelType w:val="hybridMultilevel"/>
    <w:tmpl w:val="F2E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12234"/>
    <w:rsid w:val="00026A96"/>
    <w:rsid w:val="000367D2"/>
    <w:rsid w:val="000378FB"/>
    <w:rsid w:val="00050D9D"/>
    <w:rsid w:val="00055770"/>
    <w:rsid w:val="00057969"/>
    <w:rsid w:val="0007269E"/>
    <w:rsid w:val="000B3424"/>
    <w:rsid w:val="000C6C9A"/>
    <w:rsid w:val="000F73A3"/>
    <w:rsid w:val="0010370B"/>
    <w:rsid w:val="001340DB"/>
    <w:rsid w:val="0014586B"/>
    <w:rsid w:val="00161204"/>
    <w:rsid w:val="001750D0"/>
    <w:rsid w:val="00185A11"/>
    <w:rsid w:val="00193E07"/>
    <w:rsid w:val="00195C44"/>
    <w:rsid w:val="001C34DA"/>
    <w:rsid w:val="001F2814"/>
    <w:rsid w:val="0021017E"/>
    <w:rsid w:val="00212CC1"/>
    <w:rsid w:val="00223C1E"/>
    <w:rsid w:val="00236811"/>
    <w:rsid w:val="00266A23"/>
    <w:rsid w:val="002A2DA1"/>
    <w:rsid w:val="002D325A"/>
    <w:rsid w:val="002D503C"/>
    <w:rsid w:val="0030635D"/>
    <w:rsid w:val="00311AED"/>
    <w:rsid w:val="00313CB2"/>
    <w:rsid w:val="00341E99"/>
    <w:rsid w:val="00373AAB"/>
    <w:rsid w:val="00381BF5"/>
    <w:rsid w:val="00395A75"/>
    <w:rsid w:val="003C02B1"/>
    <w:rsid w:val="003C2870"/>
    <w:rsid w:val="0041102D"/>
    <w:rsid w:val="00431CDC"/>
    <w:rsid w:val="00433057"/>
    <w:rsid w:val="00485246"/>
    <w:rsid w:val="004A335D"/>
    <w:rsid w:val="004B3EBE"/>
    <w:rsid w:val="004F384D"/>
    <w:rsid w:val="005131C8"/>
    <w:rsid w:val="005242EB"/>
    <w:rsid w:val="00540B13"/>
    <w:rsid w:val="00550BAE"/>
    <w:rsid w:val="00564DE6"/>
    <w:rsid w:val="005851F2"/>
    <w:rsid w:val="005A0F0B"/>
    <w:rsid w:val="005C20B5"/>
    <w:rsid w:val="005C5D41"/>
    <w:rsid w:val="005C7206"/>
    <w:rsid w:val="005D5A32"/>
    <w:rsid w:val="005E2C94"/>
    <w:rsid w:val="005E4F59"/>
    <w:rsid w:val="00613CD6"/>
    <w:rsid w:val="00650F8B"/>
    <w:rsid w:val="0065718D"/>
    <w:rsid w:val="0066282B"/>
    <w:rsid w:val="00663909"/>
    <w:rsid w:val="006A0503"/>
    <w:rsid w:val="006B333B"/>
    <w:rsid w:val="006B63A7"/>
    <w:rsid w:val="006E0BC1"/>
    <w:rsid w:val="00700C52"/>
    <w:rsid w:val="00724222"/>
    <w:rsid w:val="00730A8F"/>
    <w:rsid w:val="007321D2"/>
    <w:rsid w:val="007473AF"/>
    <w:rsid w:val="00754E47"/>
    <w:rsid w:val="007565EE"/>
    <w:rsid w:val="00766D0B"/>
    <w:rsid w:val="0077494E"/>
    <w:rsid w:val="00776058"/>
    <w:rsid w:val="007931A5"/>
    <w:rsid w:val="007B2A31"/>
    <w:rsid w:val="007B441E"/>
    <w:rsid w:val="007B7AB7"/>
    <w:rsid w:val="007D5B83"/>
    <w:rsid w:val="007E1AE3"/>
    <w:rsid w:val="007F3763"/>
    <w:rsid w:val="00814EEB"/>
    <w:rsid w:val="008C47C2"/>
    <w:rsid w:val="008D7F06"/>
    <w:rsid w:val="008E610B"/>
    <w:rsid w:val="008F2627"/>
    <w:rsid w:val="00911547"/>
    <w:rsid w:val="00935E59"/>
    <w:rsid w:val="00983165"/>
    <w:rsid w:val="00992CA1"/>
    <w:rsid w:val="009A2DDF"/>
    <w:rsid w:val="009C0D73"/>
    <w:rsid w:val="009E6B12"/>
    <w:rsid w:val="009F09C4"/>
    <w:rsid w:val="00A0369F"/>
    <w:rsid w:val="00A179DA"/>
    <w:rsid w:val="00A563EB"/>
    <w:rsid w:val="00A711EB"/>
    <w:rsid w:val="00A909BE"/>
    <w:rsid w:val="00A967AD"/>
    <w:rsid w:val="00AA3A68"/>
    <w:rsid w:val="00AB7B97"/>
    <w:rsid w:val="00AC6016"/>
    <w:rsid w:val="00B21D5E"/>
    <w:rsid w:val="00B42E1F"/>
    <w:rsid w:val="00B81F35"/>
    <w:rsid w:val="00B847DC"/>
    <w:rsid w:val="00B96A32"/>
    <w:rsid w:val="00BA1380"/>
    <w:rsid w:val="00BD6CE5"/>
    <w:rsid w:val="00BF34B2"/>
    <w:rsid w:val="00BF6CEE"/>
    <w:rsid w:val="00BF6E21"/>
    <w:rsid w:val="00BF767E"/>
    <w:rsid w:val="00C056B3"/>
    <w:rsid w:val="00C069B2"/>
    <w:rsid w:val="00C208D5"/>
    <w:rsid w:val="00C26772"/>
    <w:rsid w:val="00C54CAF"/>
    <w:rsid w:val="00C57269"/>
    <w:rsid w:val="00C65285"/>
    <w:rsid w:val="00C70FE7"/>
    <w:rsid w:val="00C749ED"/>
    <w:rsid w:val="00C85700"/>
    <w:rsid w:val="00D10461"/>
    <w:rsid w:val="00D24B37"/>
    <w:rsid w:val="00D264AC"/>
    <w:rsid w:val="00D312AB"/>
    <w:rsid w:val="00D35A71"/>
    <w:rsid w:val="00D4760E"/>
    <w:rsid w:val="00D60C55"/>
    <w:rsid w:val="00D814F6"/>
    <w:rsid w:val="00D836E6"/>
    <w:rsid w:val="00D92AF0"/>
    <w:rsid w:val="00D967F0"/>
    <w:rsid w:val="00DB49FB"/>
    <w:rsid w:val="00DB5A25"/>
    <w:rsid w:val="00DC5467"/>
    <w:rsid w:val="00DD4083"/>
    <w:rsid w:val="00DD7450"/>
    <w:rsid w:val="00DE50C4"/>
    <w:rsid w:val="00E0652A"/>
    <w:rsid w:val="00E12F04"/>
    <w:rsid w:val="00E13EDC"/>
    <w:rsid w:val="00E146D4"/>
    <w:rsid w:val="00E22275"/>
    <w:rsid w:val="00E27900"/>
    <w:rsid w:val="00E3028D"/>
    <w:rsid w:val="00E31EE2"/>
    <w:rsid w:val="00E43834"/>
    <w:rsid w:val="00E5118A"/>
    <w:rsid w:val="00E57E03"/>
    <w:rsid w:val="00E83650"/>
    <w:rsid w:val="00EA3D49"/>
    <w:rsid w:val="00ED261F"/>
    <w:rsid w:val="00ED2FC9"/>
    <w:rsid w:val="00EE7230"/>
    <w:rsid w:val="00F11AA8"/>
    <w:rsid w:val="00F25C8A"/>
    <w:rsid w:val="00F45B21"/>
    <w:rsid w:val="00F854E4"/>
    <w:rsid w:val="00FB57DA"/>
    <w:rsid w:val="00FC7265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79D4"/>
  <w15:docId w15:val="{C9C3D017-C321-4E6C-99FD-3FC12B7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4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9E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24624&amp;sub=39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Попова Алёна Сергеевна</cp:lastModifiedBy>
  <cp:revision>102</cp:revision>
  <cp:lastPrinted>2019-06-04T14:10:00Z</cp:lastPrinted>
  <dcterms:created xsi:type="dcterms:W3CDTF">2019-06-04T13:59:00Z</dcterms:created>
  <dcterms:modified xsi:type="dcterms:W3CDTF">2021-01-15T09:01:00Z</dcterms:modified>
</cp:coreProperties>
</file>