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DB75" w14:textId="77777777" w:rsidR="00B82F39" w:rsidRDefault="00B82F39">
      <w:pPr>
        <w:rPr>
          <w:noProof/>
        </w:rPr>
      </w:pPr>
    </w:p>
    <w:p w14:paraId="0AAB2DFC" w14:textId="798EEDAB" w:rsidR="000F4CA0" w:rsidRDefault="00B82F39">
      <w:pPr>
        <w:rPr>
          <w:noProof/>
        </w:rPr>
      </w:pPr>
      <w:r>
        <w:rPr>
          <w:noProof/>
        </w:rPr>
        <w:drawing>
          <wp:inline distT="0" distB="0" distL="0" distR="0" wp14:anchorId="6866BB7C" wp14:editId="0D6D9A4E">
            <wp:extent cx="6257925" cy="4469946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822" cy="447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0B4F9" w14:textId="7C6BBE66" w:rsidR="00B82F39" w:rsidRPr="00B82F39" w:rsidRDefault="00B82F39" w:rsidP="00B82F39"/>
    <w:p w14:paraId="6ECDBF37" w14:textId="40C56AE7" w:rsidR="00B82F39" w:rsidRDefault="00B82F39" w:rsidP="00B82F39">
      <w:pPr>
        <w:rPr>
          <w:noProof/>
        </w:rPr>
      </w:pPr>
    </w:p>
    <w:p w14:paraId="70A309D4" w14:textId="77777777" w:rsidR="00B82F39" w:rsidRDefault="00B82F39" w:rsidP="00B82F39"/>
    <w:p w14:paraId="11447808" w14:textId="0ABD95D7" w:rsidR="00B82F39" w:rsidRDefault="00B82F39" w:rsidP="00B82F39">
      <w:pPr>
        <w:jc w:val="center"/>
      </w:pPr>
    </w:p>
    <w:p w14:paraId="34209999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outlineLvl w:val="0"/>
        <w:rPr>
          <w:rFonts w:eastAsia="SimSun"/>
          <w:b/>
          <w:color w:val="000000"/>
          <w:sz w:val="24"/>
          <w:szCs w:val="24"/>
          <w:u w:val="single"/>
          <w:lang w:eastAsia="zh-CN"/>
        </w:rPr>
      </w:pPr>
      <w:r>
        <w:rPr>
          <w:rFonts w:eastAsia="SimSun"/>
          <w:b/>
          <w:color w:val="000000"/>
          <w:sz w:val="24"/>
          <w:szCs w:val="24"/>
          <w:u w:val="single"/>
          <w:lang w:eastAsia="zh-CN"/>
        </w:rPr>
        <w:lastRenderedPageBreak/>
        <w:t>ОД-</w:t>
      </w:r>
      <w:r w:rsidRPr="00233622">
        <w:rPr>
          <w:rFonts w:eastAsia="SimSun"/>
          <w:b/>
          <w:color w:val="000000"/>
          <w:sz w:val="24"/>
          <w:szCs w:val="24"/>
          <w:u w:val="single"/>
          <w:lang w:eastAsia="zh-CN"/>
        </w:rPr>
        <w:t xml:space="preserve">3. Зона обслуживания и деловой активности при </w:t>
      </w:r>
      <w:proofErr w:type="gramStart"/>
      <w:r w:rsidRPr="00233622">
        <w:rPr>
          <w:rFonts w:eastAsia="SimSun"/>
          <w:b/>
          <w:color w:val="000000"/>
          <w:sz w:val="24"/>
          <w:szCs w:val="24"/>
          <w:u w:val="single"/>
          <w:lang w:eastAsia="zh-CN"/>
        </w:rPr>
        <w:t>транспортных  коридорах</w:t>
      </w:r>
      <w:proofErr w:type="gramEnd"/>
      <w:r w:rsidRPr="00233622">
        <w:rPr>
          <w:rFonts w:eastAsia="SimSun"/>
          <w:b/>
          <w:color w:val="000000"/>
          <w:sz w:val="24"/>
          <w:szCs w:val="24"/>
          <w:u w:val="single"/>
          <w:lang w:eastAsia="zh-CN"/>
        </w:rPr>
        <w:t xml:space="preserve"> и узлах.</w:t>
      </w:r>
    </w:p>
    <w:p w14:paraId="61B152FA" w14:textId="77777777" w:rsidR="00B82F39" w:rsidRPr="00233622" w:rsidRDefault="00B82F39" w:rsidP="00B82F39">
      <w:pPr>
        <w:widowControl w:val="0"/>
        <w:tabs>
          <w:tab w:val="left" w:pos="1260"/>
        </w:tabs>
        <w:overflowPunct w:val="0"/>
        <w:autoSpaceDE w:val="0"/>
        <w:autoSpaceDN w:val="0"/>
        <w:adjustRightInd w:val="0"/>
        <w:ind w:firstLine="426"/>
        <w:jc w:val="both"/>
        <w:rPr>
          <w:i/>
          <w:iCs/>
          <w:color w:val="000000"/>
          <w:sz w:val="24"/>
          <w:szCs w:val="24"/>
        </w:rPr>
      </w:pPr>
      <w:r w:rsidRPr="00233622">
        <w:rPr>
          <w:i/>
          <w:iCs/>
          <w:color w:val="000000"/>
          <w:sz w:val="24"/>
          <w:szCs w:val="24"/>
        </w:rPr>
        <w:t xml:space="preserve">Зона обслуживания и деловой активности при транспортных коридорах и узлах ОД - 3 выделена для обеспечения правовых условий формирования и развития общественных центров при сооружениях внешнего транспорта (авто., железнодорожного, речного вокзалов) и категорированных автодорог федерального, краевого и районного значения, с широким спектром деловых и обслуживающих функций, ориентированных на обеспечение высокого уровня комфорта перевозки грузов и пассажиров.  </w:t>
      </w:r>
    </w:p>
    <w:p w14:paraId="6AC93D33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453DBB72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r w:rsidRPr="00233622">
        <w:rPr>
          <w:b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B82F39" w:rsidRPr="00233622" w14:paraId="54744B46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6C4CF03C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14:paraId="5EA9163F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</w:t>
            </w:r>
            <w:proofErr w:type="gramEnd"/>
            <w:r w:rsidRPr="00233622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разрешенного </w:t>
            </w:r>
            <w:r w:rsidRPr="00233622">
              <w:rPr>
                <w:rFonts w:eastAsia="SimSun"/>
                <w:b/>
                <w:color w:val="000000"/>
                <w:sz w:val="24"/>
                <w:szCs w:val="24"/>
                <w:u w:val="single"/>
                <w:lang w:eastAsia="zh-CN"/>
              </w:rPr>
              <w:t>ОД-</w:t>
            </w:r>
            <w:r w:rsidRPr="00233622">
              <w:rPr>
                <w:b/>
                <w:color w:val="000000"/>
                <w:sz w:val="24"/>
                <w:szCs w:val="24"/>
                <w:shd w:val="clear" w:color="auto" w:fill="FFFFFF"/>
              </w:rPr>
              <w:t>использования земельного участка</w:t>
            </w:r>
          </w:p>
        </w:tc>
        <w:tc>
          <w:tcPr>
            <w:tcW w:w="6378" w:type="dxa"/>
            <w:vAlign w:val="center"/>
          </w:tcPr>
          <w:p w14:paraId="17C750D2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82F39" w:rsidRPr="00233622" w14:paraId="4219F4BB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0C78A51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[4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.1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Деловое управление</w:t>
            </w:r>
          </w:p>
        </w:tc>
        <w:tc>
          <w:tcPr>
            <w:tcW w:w="5670" w:type="dxa"/>
            <w:vAlign w:val="center"/>
          </w:tcPr>
          <w:p w14:paraId="0B62CD2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378" w:type="dxa"/>
          </w:tcPr>
          <w:p w14:paraId="6864606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400 кв. м 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6DD31B18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56C3531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1E577E7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14:paraId="1D9A437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%;</w:t>
            </w:r>
            <w:r w:rsidRPr="00233622">
              <w:rPr>
                <w:color w:val="000000"/>
                <w:sz w:val="24"/>
                <w:szCs w:val="24"/>
              </w:rPr>
              <w:t>Процент</w:t>
            </w:r>
            <w:proofErr w:type="gramEnd"/>
            <w:r w:rsidRPr="00233622">
              <w:rPr>
                <w:color w:val="000000"/>
                <w:sz w:val="24"/>
                <w:szCs w:val="24"/>
              </w:rPr>
              <w:t xml:space="preserve"> застройки подземной части не регламентируется.</w:t>
            </w:r>
          </w:p>
        </w:tc>
      </w:tr>
      <w:tr w:rsidR="00B82F39" w:rsidRPr="00233622" w14:paraId="234CD411" w14:textId="77777777" w:rsidTr="004546F5">
        <w:trPr>
          <w:trHeight w:val="1284"/>
        </w:trPr>
        <w:tc>
          <w:tcPr>
            <w:tcW w:w="3545" w:type="dxa"/>
            <w:vAlign w:val="center"/>
          </w:tcPr>
          <w:p w14:paraId="78CE89F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4.5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Банковская и страховая деятельность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90A9D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размещения организаций, оказывающих банковские и страховые услуги;</w:t>
            </w:r>
          </w:p>
        </w:tc>
        <w:tc>
          <w:tcPr>
            <w:tcW w:w="6378" w:type="dxa"/>
            <w:vMerge w:val="restart"/>
            <w:vAlign w:val="center"/>
          </w:tcPr>
          <w:p w14:paraId="16D1865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400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7F1B5F2A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581ECAD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30595CD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14:paraId="6F4ACAA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%;</w:t>
            </w:r>
            <w:r w:rsidRPr="00233622">
              <w:rPr>
                <w:color w:val="000000"/>
                <w:sz w:val="24"/>
                <w:szCs w:val="24"/>
              </w:rPr>
              <w:t>Процент</w:t>
            </w:r>
            <w:proofErr w:type="gramEnd"/>
            <w:r w:rsidRPr="00233622">
              <w:rPr>
                <w:color w:val="000000"/>
                <w:sz w:val="24"/>
                <w:szCs w:val="24"/>
              </w:rPr>
              <w:t xml:space="preserve"> застройки подземной части не регламентируется.</w:t>
            </w:r>
          </w:p>
        </w:tc>
      </w:tr>
      <w:tr w:rsidR="00B82F39" w:rsidRPr="00233622" w14:paraId="229E2B23" w14:textId="77777777" w:rsidTr="004546F5">
        <w:trPr>
          <w:trHeight w:val="1547"/>
        </w:trPr>
        <w:tc>
          <w:tcPr>
            <w:tcW w:w="3545" w:type="dxa"/>
            <w:vAlign w:val="center"/>
          </w:tcPr>
          <w:p w14:paraId="5570459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3.2.3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2AEBFA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378" w:type="dxa"/>
            <w:vMerge/>
            <w:vAlign w:val="center"/>
          </w:tcPr>
          <w:p w14:paraId="3CABB72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B82F39" w:rsidRPr="00233622" w14:paraId="2F743582" w14:textId="77777777" w:rsidTr="004546F5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14:paraId="28E99AA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3.3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Бытовое обслуживание</w:t>
            </w:r>
          </w:p>
        </w:tc>
        <w:tc>
          <w:tcPr>
            <w:tcW w:w="5670" w:type="dxa"/>
            <w:shd w:val="clear" w:color="auto" w:fill="auto"/>
          </w:tcPr>
          <w:p w14:paraId="24DE062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378" w:type="dxa"/>
          </w:tcPr>
          <w:p w14:paraId="749FD79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100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331DD31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1A388F5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06E0095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2 этажа (включая мансардный этаж);</w:t>
            </w:r>
          </w:p>
          <w:p w14:paraId="5BD26D4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32B6F225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265CBE88" w14:textId="77777777" w:rsidTr="004546F5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14:paraId="18357B5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[3.4.1] – Амбулаторно-поликлиническое обслуживание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6C8AA04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</w:tc>
        <w:tc>
          <w:tcPr>
            <w:tcW w:w="6378" w:type="dxa"/>
            <w:vAlign w:val="center"/>
          </w:tcPr>
          <w:p w14:paraId="6B2F424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100 кв. м/2000 кв. м;</w:t>
            </w:r>
          </w:p>
          <w:p w14:paraId="0F0D998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17C852E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7B21F10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2 этажа (включая мансардный этаж);</w:t>
            </w:r>
          </w:p>
          <w:p w14:paraId="6027F2A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7794E68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1517C875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4F063A0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4.3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Рынки</w:t>
            </w:r>
          </w:p>
        </w:tc>
        <w:tc>
          <w:tcPr>
            <w:tcW w:w="5670" w:type="dxa"/>
            <w:vAlign w:val="center"/>
          </w:tcPr>
          <w:p w14:paraId="3CEDEBF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сооружения, предназначены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</w:tc>
        <w:tc>
          <w:tcPr>
            <w:tcW w:w="6378" w:type="dxa"/>
            <w:vMerge w:val="restart"/>
            <w:vAlign w:val="center"/>
          </w:tcPr>
          <w:p w14:paraId="0E8294D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100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4294A65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5BBF28B5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4F89894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14:paraId="6A65889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54351FF4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 xml:space="preserve">Процент застройки подземной части не </w:t>
            </w:r>
            <w:r w:rsidRPr="00233622">
              <w:rPr>
                <w:color w:val="000000"/>
                <w:sz w:val="24"/>
                <w:szCs w:val="24"/>
              </w:rPr>
              <w:lastRenderedPageBreak/>
              <w:t>регламентируется.</w:t>
            </w:r>
          </w:p>
        </w:tc>
      </w:tr>
      <w:tr w:rsidR="00B82F39" w:rsidRPr="00233622" w14:paraId="268449F5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4C71EAC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4.4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5670" w:type="dxa"/>
            <w:vAlign w:val="center"/>
          </w:tcPr>
          <w:p w14:paraId="49497A1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продажи товаров, торговая площадь которых составляет до 5000 кв. м;</w:t>
            </w:r>
          </w:p>
        </w:tc>
        <w:tc>
          <w:tcPr>
            <w:tcW w:w="6378" w:type="dxa"/>
            <w:vMerge/>
            <w:vAlign w:val="center"/>
          </w:tcPr>
          <w:p w14:paraId="22DD800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B82F39" w:rsidRPr="00233622" w14:paraId="7C8D85DE" w14:textId="77777777" w:rsidTr="004546F5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14:paraId="3C15FA3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[4.6] – </w:t>
            </w:r>
            <w:r w:rsidRPr="00233622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22C20D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устройства мест общественного питания (рестораны, кафе, столовые, закусочные, бары)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61F589D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300 кв. м/5000 кв. м;</w:t>
            </w:r>
          </w:p>
          <w:p w14:paraId="23B4CE0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6A4F9CE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0B425D8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2 этажа (включая мансардный этаж);</w:t>
            </w:r>
          </w:p>
          <w:p w14:paraId="0C09B15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6AE55F7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29102FF9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5C5583D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4.7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Гостиничное обслуживание</w:t>
            </w:r>
          </w:p>
        </w:tc>
        <w:tc>
          <w:tcPr>
            <w:tcW w:w="5670" w:type="dxa"/>
            <w:vAlign w:val="center"/>
          </w:tcPr>
          <w:p w14:paraId="57B0BCF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Гостиницы, а также иные здания, используемые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6378" w:type="dxa"/>
            <w:vAlign w:val="center"/>
          </w:tcPr>
          <w:p w14:paraId="324EC12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400 кв. м/5000 кв. м;</w:t>
            </w:r>
          </w:p>
          <w:p w14:paraId="1254B21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5640C35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0D91E5A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14:paraId="3123E85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499660E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lastRenderedPageBreak/>
              <w:t>Процент застройки подземной части не регламентируется.</w:t>
            </w:r>
          </w:p>
        </w:tc>
      </w:tr>
      <w:tr w:rsidR="00B82F39" w:rsidRPr="00233622" w14:paraId="5EDD10F3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6D0D23D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[4.8.1] – Развлекательные мероприятия</w:t>
            </w:r>
          </w:p>
        </w:tc>
        <w:tc>
          <w:tcPr>
            <w:tcW w:w="5670" w:type="dxa"/>
            <w:vAlign w:val="center"/>
          </w:tcPr>
          <w:p w14:paraId="2C240A4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378" w:type="dxa"/>
            <w:vAlign w:val="center"/>
          </w:tcPr>
          <w:p w14:paraId="7DAA26D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300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03A208E4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7A3BB83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6017085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14:paraId="6EA712D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- 15 м;</w:t>
            </w:r>
          </w:p>
          <w:p w14:paraId="1A89E4B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371940F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5BB17A0B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61E02B58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[3.1.2] - </w:t>
            </w:r>
            <w:r w:rsidRPr="00233622">
              <w:rPr>
                <w:color w:val="000000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  <w:p w14:paraId="6FEBAC7A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vAlign w:val="center"/>
          </w:tcPr>
          <w:p w14:paraId="3F44B88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378" w:type="dxa"/>
            <w:vAlign w:val="center"/>
          </w:tcPr>
          <w:p w14:paraId="4A682F1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- 400 кв.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</w:t>
            </w:r>
            <w:proofErr w:type="gramEnd"/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19E47974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6D140BAA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35105F4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– 3 этажа (включая мансардный этаж); </w:t>
            </w:r>
          </w:p>
          <w:p w14:paraId="5023536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14:paraId="7643438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14:paraId="0D8252D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4E96BCF5" w14:textId="77777777" w:rsidTr="004546F5">
        <w:trPr>
          <w:trHeight w:val="3036"/>
        </w:trPr>
        <w:tc>
          <w:tcPr>
            <w:tcW w:w="3545" w:type="dxa"/>
            <w:shd w:val="clear" w:color="auto" w:fill="auto"/>
            <w:vAlign w:val="center"/>
          </w:tcPr>
          <w:p w14:paraId="42A3D3B5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3.9.1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Обеспечение деятельности в области гидрометеорологии и смежных с ней областях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1FDAD2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здания и сооружения, используемые в области гидрометеорологии и смежных с ней областях (доплеровские метеорологические радиолокаторы, гидрологические посты и другие);</w:t>
            </w:r>
          </w:p>
        </w:tc>
        <w:tc>
          <w:tcPr>
            <w:tcW w:w="6378" w:type="dxa"/>
            <w:vAlign w:val="center"/>
          </w:tcPr>
          <w:p w14:paraId="1BE9A32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- 10 кв.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</w:t>
            </w:r>
            <w:proofErr w:type="gramEnd"/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6D2559D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14:paraId="4CF4C0A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648EE8C8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14:paraId="59852A0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- 35 м;</w:t>
            </w:r>
          </w:p>
          <w:p w14:paraId="64A9510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</w:t>
            </w:r>
          </w:p>
        </w:tc>
      </w:tr>
      <w:tr w:rsidR="00B82F39" w:rsidRPr="00233622" w14:paraId="0D355DE9" w14:textId="77777777" w:rsidTr="004546F5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14:paraId="07DBD20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[12.0.1] - Улично-дорожная сеть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7162EC4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велотранспортной</w:t>
            </w:r>
            <w:proofErr w:type="spell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и инженерной инфраструктуры;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cr/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кодами  2.7.1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378" w:type="dxa"/>
            <w:vMerge w:val="restart"/>
            <w:vAlign w:val="center"/>
          </w:tcPr>
          <w:p w14:paraId="490CDA3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lastRenderedPageBreak/>
              <w:t>Регламенты не подлежат установлению.</w:t>
            </w:r>
          </w:p>
          <w:p w14:paraId="0D1C2EA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</w:t>
            </w:r>
            <w:r w:rsidRPr="00233622">
              <w:rPr>
                <w:color w:val="000000"/>
                <w:sz w:val="24"/>
                <w:szCs w:val="24"/>
              </w:rPr>
              <w:lastRenderedPageBreak/>
              <w:t>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</w:p>
        </w:tc>
      </w:tr>
      <w:tr w:rsidR="00B82F39" w:rsidRPr="00233622" w14:paraId="1C7DA562" w14:textId="77777777" w:rsidTr="004546F5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14:paraId="5360667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[12.0.2] - Благоустройство территории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47031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378" w:type="dxa"/>
            <w:vMerge/>
            <w:vAlign w:val="center"/>
          </w:tcPr>
          <w:p w14:paraId="234EAE3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1B3E65B0" w14:textId="77777777" w:rsidR="00B82F39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43CFD68C" w14:textId="77777777" w:rsidR="00B82F39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176688E3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 w:rsidRPr="00233622">
        <w:rPr>
          <w:b/>
          <w:color w:val="000000"/>
          <w:sz w:val="24"/>
          <w:szCs w:val="24"/>
        </w:rPr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B82F39" w:rsidRPr="00233622" w14:paraId="13A9E293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539E1FA4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14:paraId="7430B2BD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14:paraId="0B45E68A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82F39" w:rsidRPr="00233622" w14:paraId="0A0D097D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7765DBD8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4.9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5670" w:type="dxa"/>
            <w:vAlign w:val="center"/>
          </w:tcPr>
          <w:p w14:paraId="19AFE163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378" w:type="dxa"/>
            <w:vAlign w:val="center"/>
          </w:tcPr>
          <w:p w14:paraId="0B664672" w14:textId="77777777" w:rsidR="00B82F39" w:rsidRPr="00233622" w:rsidRDefault="00B82F39" w:rsidP="004546F5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20/5000 кв. м;</w:t>
            </w:r>
          </w:p>
          <w:p w14:paraId="6DA92EB8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5 м;</w:t>
            </w:r>
          </w:p>
          <w:p w14:paraId="0E72489A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5157E3E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14:paraId="33CE27D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14:paraId="06DA918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40A0C435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3131AB0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[3.1.1] - Предоставление коммунальных услуг</w:t>
            </w:r>
          </w:p>
          <w:p w14:paraId="597BAC65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vAlign w:val="center"/>
          </w:tcPr>
          <w:p w14:paraId="7891920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техники)</w:t>
            </w:r>
          </w:p>
        </w:tc>
        <w:tc>
          <w:tcPr>
            <w:tcW w:w="6378" w:type="dxa"/>
            <w:vAlign w:val="center"/>
          </w:tcPr>
          <w:p w14:paraId="039B1F1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- 10 кв.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</w:t>
            </w:r>
            <w:proofErr w:type="gramEnd"/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71053AA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14:paraId="70A71AF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55C14B1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14:paraId="736BA75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14:paraId="03FEE47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земельного участка – 80%;</w:t>
            </w:r>
          </w:p>
          <w:p w14:paraId="648E42A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3FEF74F5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72940B8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[4.8.2] – Проведение азартных игр</w:t>
            </w:r>
          </w:p>
        </w:tc>
        <w:tc>
          <w:tcPr>
            <w:tcW w:w="5670" w:type="dxa"/>
            <w:vAlign w:val="center"/>
          </w:tcPr>
          <w:p w14:paraId="348B37E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6378" w:type="dxa"/>
            <w:vAlign w:val="center"/>
          </w:tcPr>
          <w:p w14:paraId="5BED389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100 кв. м/1000 кв. м;</w:t>
            </w:r>
          </w:p>
          <w:p w14:paraId="369FF8B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14:paraId="3215E08C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0C5420B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- 15 м;</w:t>
            </w:r>
          </w:p>
          <w:p w14:paraId="12770B3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90%;</w:t>
            </w:r>
          </w:p>
          <w:p w14:paraId="7BF6A39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492B2D4F" w14:textId="77777777" w:rsidTr="004546F5">
        <w:trPr>
          <w:trHeight w:val="20"/>
        </w:trPr>
        <w:tc>
          <w:tcPr>
            <w:tcW w:w="3545" w:type="dxa"/>
          </w:tcPr>
          <w:p w14:paraId="6066BA63" w14:textId="77777777" w:rsidR="00B82F39" w:rsidRPr="00921EB4" w:rsidRDefault="00B82F39" w:rsidP="004546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921EB4">
              <w:rPr>
                <w:sz w:val="24"/>
                <w:szCs w:val="24"/>
              </w:rPr>
              <w:t>[4.9.1.1] - Заправка транспортных средств</w:t>
            </w:r>
          </w:p>
        </w:tc>
        <w:tc>
          <w:tcPr>
            <w:tcW w:w="5670" w:type="dxa"/>
          </w:tcPr>
          <w:p w14:paraId="60094A92" w14:textId="77777777" w:rsidR="00B82F39" w:rsidRPr="00921EB4" w:rsidRDefault="00B82F39" w:rsidP="004546F5">
            <w:pPr>
              <w:jc w:val="both"/>
              <w:rPr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      </w:t>
            </w:r>
            <w:r w:rsidRPr="00921EB4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6378" w:type="dxa"/>
          </w:tcPr>
          <w:p w14:paraId="5F7E9E60" w14:textId="77777777" w:rsidR="00B82F39" w:rsidRPr="00233622" w:rsidRDefault="00B82F39" w:rsidP="004546F5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- 100 кв.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</w:t>
            </w:r>
            <w:proofErr w:type="gramEnd"/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</w:p>
          <w:p w14:paraId="178EB2D4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14:paraId="586F1C59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399F580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14:paraId="3101BCC5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максимальный процент застройки в границах земельного участка – 80%;</w:t>
            </w:r>
          </w:p>
          <w:p w14:paraId="2AB3A770" w14:textId="77777777" w:rsidR="00B82F39" w:rsidRPr="00266471" w:rsidRDefault="00B82F39" w:rsidP="004546F5"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62479AC6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1875FD54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4.9.1.2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5670" w:type="dxa"/>
            <w:vAlign w:val="center"/>
          </w:tcPr>
          <w:p w14:paraId="018439E4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6378" w:type="dxa"/>
            <w:vAlign w:val="center"/>
          </w:tcPr>
          <w:p w14:paraId="48AD800C" w14:textId="77777777" w:rsidR="00B82F39" w:rsidRPr="00233622" w:rsidRDefault="00B82F39" w:rsidP="004546F5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60/5000 кв. м;</w:t>
            </w:r>
          </w:p>
          <w:p w14:paraId="43162A3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14:paraId="445F88A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200B543A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14:paraId="6DAB06D1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55316048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23B5C0DE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700977FE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4.9.1.3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5670" w:type="dxa"/>
            <w:vAlign w:val="center"/>
          </w:tcPr>
          <w:p w14:paraId="364D31DA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6378" w:type="dxa"/>
            <w:vAlign w:val="center"/>
          </w:tcPr>
          <w:p w14:paraId="4A7E454C" w14:textId="77777777" w:rsidR="00B82F39" w:rsidRPr="00233622" w:rsidRDefault="00B82F39" w:rsidP="004546F5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60/1000 кв. м;</w:t>
            </w:r>
          </w:p>
          <w:p w14:paraId="69354AE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14:paraId="3C884987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53799B4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14:paraId="7B47E250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максимальный процент застройки в границах земельного участка – 80%;</w:t>
            </w:r>
          </w:p>
          <w:p w14:paraId="0FC2153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B82F39" w:rsidRPr="00233622" w14:paraId="5FE29EF7" w14:textId="77777777" w:rsidTr="004546F5">
        <w:trPr>
          <w:trHeight w:val="20"/>
        </w:trPr>
        <w:tc>
          <w:tcPr>
            <w:tcW w:w="3545" w:type="dxa"/>
            <w:vAlign w:val="center"/>
          </w:tcPr>
          <w:p w14:paraId="0EB4DA38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4.9.1.4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5670" w:type="dxa"/>
            <w:vAlign w:val="center"/>
          </w:tcPr>
          <w:p w14:paraId="4B245A74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6378" w:type="dxa"/>
            <w:vAlign w:val="center"/>
          </w:tcPr>
          <w:p w14:paraId="4CAEF240" w14:textId="77777777" w:rsidR="00B82F39" w:rsidRPr="00233622" w:rsidRDefault="00B82F39" w:rsidP="004546F5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60/2000 кв. м;</w:t>
            </w:r>
          </w:p>
          <w:p w14:paraId="6E90607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14:paraId="33D249B8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2562D536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14:paraId="5B9A496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14:paraId="48FE53D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</w:tbl>
    <w:p w14:paraId="13F9575B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r w:rsidRPr="00233622">
        <w:rPr>
          <w:rFonts w:eastAsia="SimSun"/>
          <w:b/>
          <w:color w:val="000000"/>
          <w:sz w:val="24"/>
          <w:szCs w:val="24"/>
          <w:lang w:eastAsia="zh-CN"/>
        </w:rPr>
        <w:t xml:space="preserve">Вспомогательные виды разрешенного использования земельных участков и объектов капитального строительства,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</w:t>
      </w:r>
      <w:r w:rsidRPr="00233622">
        <w:rPr>
          <w:b/>
          <w:color w:val="000000"/>
          <w:sz w:val="24"/>
          <w:szCs w:val="24"/>
        </w:rPr>
        <w:t>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B82F39" w:rsidRPr="00233622" w14:paraId="66DE52FB" w14:textId="77777777" w:rsidTr="004546F5">
        <w:trPr>
          <w:trHeight w:val="20"/>
        </w:trPr>
        <w:tc>
          <w:tcPr>
            <w:tcW w:w="7655" w:type="dxa"/>
            <w:vAlign w:val="center"/>
          </w:tcPr>
          <w:p w14:paraId="5F98E791" w14:textId="77777777" w:rsidR="00B82F39" w:rsidRPr="00233622" w:rsidRDefault="00B82F39" w:rsidP="004546F5">
            <w:pPr>
              <w:widowControl w:val="0"/>
              <w:tabs>
                <w:tab w:val="left" w:pos="-1667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233622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14:paraId="07F897A5" w14:textId="77777777" w:rsidR="00B82F39" w:rsidRPr="00233622" w:rsidRDefault="00B82F39" w:rsidP="004546F5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82F39" w:rsidRPr="00233622" w14:paraId="649FB44A" w14:textId="77777777" w:rsidTr="004546F5">
        <w:trPr>
          <w:trHeight w:val="20"/>
        </w:trPr>
        <w:tc>
          <w:tcPr>
            <w:tcW w:w="7655" w:type="dxa"/>
            <w:vAlign w:val="center"/>
          </w:tcPr>
          <w:p w14:paraId="7A22504E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233622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основными и условно разрешенными видами использования;</w:t>
            </w:r>
          </w:p>
          <w:p w14:paraId="116FBA79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</w:p>
          <w:p w14:paraId="06516A6F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14:paraId="7C6CD9D2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объекты коммунального хозяйства (электро-, тепло-,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14:paraId="76ED41A6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14:paraId="06FC80F5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14:paraId="1FEBF007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благоустроенные, в том числе озелененные территории, детские площадки, площадки для отдыха, спортивных занятий;</w:t>
            </w:r>
          </w:p>
          <w:p w14:paraId="3963F8C9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</w:p>
          <w:p w14:paraId="4B4C125B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площадки хозяйственные, в том числе площадки для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мусоросборников и выгула собак;</w:t>
            </w:r>
          </w:p>
          <w:p w14:paraId="40691702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14:paraId="1AA47B6D" w14:textId="77777777" w:rsidR="00B82F39" w:rsidRPr="00233622" w:rsidRDefault="00B82F39" w:rsidP="004546F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14:paraId="331FB3F4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 площадь земельных участков - 1 кв. м. </w:t>
            </w:r>
          </w:p>
          <w:p w14:paraId="624769AF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площадь  земельного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участка, установленная для объектов вспомогательного назначения равнозначна максимальной площади, предназначенной для основных и(или) условно разрешенных видов использования, с обязательным условием применения понижающего коэффициента 0,5. </w:t>
            </w:r>
          </w:p>
          <w:p w14:paraId="68AE5ACE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14:paraId="03DE70D3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- </w:t>
            </w:r>
          </w:p>
          <w:p w14:paraId="079AF5E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1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не</w:t>
            </w:r>
            <w:proofErr w:type="gramEnd"/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ширины земельного участка, установленного для объектов с основными и(или)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14:paraId="5ED8F2BD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14:paraId="43E5299B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равнозначны, параметрам разрешенного строительства, реконструкции объектов с основными и условно разрешенными видами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использования,  с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обязательным условием применения понижающего коэффициента 0,5 </w:t>
            </w:r>
          </w:p>
          <w:p w14:paraId="4979FD32" w14:textId="77777777" w:rsidR="00B82F39" w:rsidRPr="00233622" w:rsidRDefault="00B82F39" w:rsidP="004546F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67F3317E" w14:textId="77777777" w:rsidR="00B82F39" w:rsidRPr="00233622" w:rsidRDefault="00B82F39" w:rsidP="004546F5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</w:p>
          <w:p w14:paraId="77BE8FCD" w14:textId="77777777" w:rsidR="00B82F39" w:rsidRPr="00233622" w:rsidRDefault="00B82F39" w:rsidP="004546F5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DD46ECC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rFonts w:eastAsia="SimSun"/>
          <w:caps/>
          <w:color w:val="000000"/>
          <w:sz w:val="24"/>
          <w:szCs w:val="24"/>
          <w:lang w:eastAsia="zh-CN"/>
        </w:rPr>
      </w:pPr>
    </w:p>
    <w:p w14:paraId="39AB61E0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outlineLvl w:val="0"/>
        <w:rPr>
          <w:rFonts w:eastAsia="SimSun"/>
          <w:b/>
          <w:color w:val="000000"/>
          <w:sz w:val="24"/>
          <w:szCs w:val="24"/>
          <w:lang w:eastAsia="zh-CN"/>
        </w:rPr>
      </w:pPr>
      <w:r w:rsidRPr="00233622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14:paraId="7ED69913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color w:val="000000"/>
          <w:sz w:val="24"/>
          <w:szCs w:val="24"/>
        </w:rPr>
        <w:t>Минимальный процент озеленения земельного участка для зданий общественно-делового назначения и апартаментов – 10%.</w:t>
      </w:r>
    </w:p>
    <w:p w14:paraId="09BB71C8" w14:textId="77777777" w:rsidR="00B82F39" w:rsidRPr="00233622" w:rsidRDefault="00B82F39" w:rsidP="00B82F39">
      <w:pPr>
        <w:keepLines/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33622">
        <w:rPr>
          <w:color w:val="000000"/>
          <w:sz w:val="24"/>
          <w:szCs w:val="24"/>
        </w:rPr>
        <w:t>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улиц, ограничивающих жилые комплексы, кварталы, микрорайоны, за счет сужения проезжей части этих улиц, пешеходных проходов, тротуаров.</w:t>
      </w:r>
    </w:p>
    <w:p w14:paraId="7708AD24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Не допускается ограничение общего доступа к территориям, сформированным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1300.</w:t>
      </w:r>
    </w:p>
    <w:p w14:paraId="22E733B8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14:paraId="1AB7D437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Расстояние до красной линии:</w:t>
      </w:r>
    </w:p>
    <w:p w14:paraId="19550891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1) от Пожарных депо - 10 м (15 м - для депо </w:t>
      </w:r>
      <w:r w:rsidRPr="00233622">
        <w:rPr>
          <w:rFonts w:eastAsia="SimSun"/>
          <w:color w:val="000000"/>
          <w:sz w:val="24"/>
          <w:szCs w:val="24"/>
          <w:lang w:val="en-US" w:eastAsia="zh-CN"/>
        </w:rPr>
        <w:t>I</w:t>
      </w: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типа);</w:t>
      </w:r>
    </w:p>
    <w:p w14:paraId="6E365A32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2) улиц, от общественных </w:t>
      </w:r>
      <w:proofErr w:type="gramStart"/>
      <w:r w:rsidRPr="00233622">
        <w:rPr>
          <w:rFonts w:eastAsia="SimSun"/>
          <w:color w:val="000000"/>
          <w:sz w:val="24"/>
          <w:szCs w:val="24"/>
          <w:lang w:eastAsia="zh-CN"/>
        </w:rPr>
        <w:t>зданий  –</w:t>
      </w:r>
      <w:proofErr w:type="gramEnd"/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5 м;</w:t>
      </w:r>
    </w:p>
    <w:p w14:paraId="362F20DB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3) проездов, от общественных зданий – 3 м;</w:t>
      </w:r>
    </w:p>
    <w:p w14:paraId="490C5297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4) от остальных зданий и сооружений - 5 м.</w:t>
      </w:r>
    </w:p>
    <w:p w14:paraId="78C94D4F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lastRenderedPageBreak/>
        <w:t>На территории сложившейся застройки общественные здания и сооружения могут размещаться по красной линии улиц по согласованию с органами местного самоуправления.</w:t>
      </w:r>
    </w:p>
    <w:p w14:paraId="5DA7C376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14:paraId="08027823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14:paraId="61C78A44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Все здания, строения и сооружения должны </w:t>
      </w:r>
      <w:proofErr w:type="gramStart"/>
      <w:r w:rsidRPr="00233622">
        <w:rPr>
          <w:rFonts w:eastAsia="SimSun"/>
          <w:color w:val="000000"/>
          <w:sz w:val="24"/>
          <w:szCs w:val="24"/>
          <w:lang w:eastAsia="zh-CN"/>
        </w:rPr>
        <w:t>быть  обеспечены</w:t>
      </w:r>
      <w:proofErr w:type="gramEnd"/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системами водоотведения с кровли, с целью предотвращения подтопления соседних земельных участков и строений.</w:t>
      </w:r>
    </w:p>
    <w:p w14:paraId="3F102B58" w14:textId="77777777" w:rsidR="00B82F39" w:rsidRPr="00233622" w:rsidRDefault="00B82F39" w:rsidP="00B82F39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Размещение навесов должно </w:t>
      </w:r>
      <w:proofErr w:type="gramStart"/>
      <w:r w:rsidRPr="00233622">
        <w:rPr>
          <w:rFonts w:eastAsia="SimSun"/>
          <w:color w:val="000000"/>
          <w:sz w:val="24"/>
          <w:szCs w:val="24"/>
          <w:lang w:eastAsia="zh-CN"/>
        </w:rPr>
        <w:t>осуществляться  с</w:t>
      </w:r>
      <w:proofErr w:type="gramEnd"/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учетом противопожарных требований и соблюдения нормативной  продолжительности инсоляции придомовых территорий и жилых помещений. </w:t>
      </w:r>
    </w:p>
    <w:p w14:paraId="6A5BA43C" w14:textId="77777777" w:rsidR="00B82F39" w:rsidRPr="00233622" w:rsidRDefault="00B82F39" w:rsidP="00B82F39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Устройство навесов не должно </w:t>
      </w:r>
      <w:proofErr w:type="gramStart"/>
      <w:r w:rsidRPr="00233622">
        <w:rPr>
          <w:rFonts w:eastAsia="SimSun"/>
          <w:color w:val="000000"/>
          <w:sz w:val="24"/>
          <w:szCs w:val="24"/>
          <w:lang w:eastAsia="zh-CN"/>
        </w:rPr>
        <w:t>ущемлять  законных</w:t>
      </w:r>
      <w:proofErr w:type="gramEnd"/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интересов соседних домовладельцев, в части водоотведения атмосферных осадков с кровли навесов,     при устройстве навесов  минимальный отступ от границы участка – 1м.</w:t>
      </w:r>
    </w:p>
    <w:p w14:paraId="58B886C2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</w:t>
      </w:r>
    </w:p>
    <w:p w14:paraId="3A16AF12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Изменение общего рельефа земельного участка, осуществляемое путем выемки или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последствий.</w:t>
      </w:r>
    </w:p>
    <w:p w14:paraId="13472347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14:paraId="2B211730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14:paraId="2F834F5A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14:paraId="5B87EB0A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Примечание общее.</w:t>
      </w:r>
    </w:p>
    <w:p w14:paraId="0850B315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lastRenderedPageBreak/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1AF2D4F1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70DFF0BF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14:paraId="5A23CF5D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 границах зон затопления, подтопления запрещаются:</w:t>
      </w:r>
    </w:p>
    <w:p w14:paraId="2AD705EB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1) использование сточных вод в целях регулирования плодородия почв;</w:t>
      </w:r>
    </w:p>
    <w:p w14:paraId="160AC7C3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14:paraId="369E50F1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3) осуществление авиационных мер по борьбе с вредными организмами.</w:t>
      </w:r>
    </w:p>
    <w:p w14:paraId="729403DE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14:paraId="33653F14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- в границах территорий общего пользования;</w:t>
      </w:r>
    </w:p>
    <w:p w14:paraId="4E31BD9A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</w:p>
    <w:p w14:paraId="6543A6E4" w14:textId="77777777" w:rsidR="00B82F39" w:rsidRPr="00233622" w:rsidRDefault="00B82F39" w:rsidP="00B82F39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 (код 7.0) осуществляется в соответствии с действующим законодательством.</w:t>
      </w:r>
    </w:p>
    <w:p w14:paraId="2629FECC" w14:textId="6F6672E2" w:rsidR="00B82F39" w:rsidRPr="00B82F39" w:rsidRDefault="00B82F39" w:rsidP="00B82F39">
      <w:pPr>
        <w:jc w:val="center"/>
      </w:pPr>
      <w:r w:rsidRPr="00233622">
        <w:rPr>
          <w:rFonts w:eastAsia="SimSun"/>
          <w:color w:val="000000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33 настоящих Правил.</w:t>
      </w:r>
    </w:p>
    <w:sectPr w:rsidR="00B82F39" w:rsidRPr="00B82F39" w:rsidSect="00B82F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A0"/>
    <w:rsid w:val="000F4CA0"/>
    <w:rsid w:val="00B8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01362"/>
  <w15:chartTrackingRefBased/>
  <w15:docId w15:val="{698D7950-6DF7-4300-94CA-102435CE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3670</Words>
  <Characters>20921</Characters>
  <Application>Microsoft Office Word</Application>
  <DocSecurity>0</DocSecurity>
  <Lines>174</Lines>
  <Paragraphs>49</Paragraphs>
  <ScaleCrop>false</ScaleCrop>
  <Company/>
  <LinksUpToDate>false</LinksUpToDate>
  <CharactersWithSpaces>24542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2022-08-15T05:49:00Z</dcterms:created>
  <dcterms:modified xsi:type="dcterms:W3CDTF">2022-08-15T05:51:00Z</dcterms:modified>
</cp:coreProperties>
</file>