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127/2251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Ганиеву Снежану Тагировну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14 июля  2025 года </w:t>
      </w:r>
      <w:r>
        <w:rPr>
          <w:sz w:val="26"/>
          <w:szCs w:val="26"/>
        </w:rPr>
        <w:t>Ганиева Снежана Тагировна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Трехмандатному избирательному округу № 2,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Ганиевой Снежаной Тагировной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 Крымская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2  </w:t>
      </w:r>
      <w:r>
        <w:rPr>
          <w:sz w:val="26"/>
          <w:szCs w:val="26"/>
        </w:rPr>
        <w:t>Ганиеву Снежану Тагировну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Ганиевой Снежане Тагировне</w:t>
      </w:r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F65D-7C06-453B-AFB8-EF97E039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253</Words>
  <Characters>1792</Characters>
  <CharactersWithSpaces>2142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2025-07-17T10:49:00Z</dcterms:created>
  <dc:creator>ТИК Абинская</dc:creator>
  <dc:description/>
  <dc:language>ru-RU</dc:language>
  <cp:lastModifiedBy/>
  <cp:lastPrinted>2025-07-31T11:57:19Z</cp:lastPrinted>
  <dcterms:modified xsi:type="dcterms:W3CDTF">2025-07-31T11:57:55Z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