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28 июля 2025 года                                                                               № 125/221</w:t>
      </w:r>
      <w:r>
        <w:rPr>
          <w:color w:val="000000"/>
          <w:szCs w:val="28"/>
          <w:lang w:eastAsia="ar-SA"/>
        </w:rPr>
        <w:t>8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Матевосяна Артака Рубиковича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Трехмандатному избирательному округу № 3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>Рассмотрев документы Матевосяна Артака Рубиковича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Трехмандатному избирательному округу № 3,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>1. Зарегистрировать Матевосяна Артака Рубиковича</w:t>
      </w:r>
      <w:r>
        <w:rPr>
          <w:i/>
          <w:szCs w:val="28"/>
        </w:rPr>
        <w:t xml:space="preserve">, </w:t>
      </w:r>
      <w:r>
        <w:rPr>
          <w:szCs w:val="28"/>
        </w:rPr>
        <w:t>1986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работающего в Государственном бюджетном учреждении здравоохранения "Крымская центральная районная больница" министерства здравоохранения Краснодарского края главным врачом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выдвинутого Крымским местным отделением Краснодарского регионального отделения Всероссийской политической партии «ЕДИНАЯ РОССИЯ» кандидатом в депутаты Совета муниципального образования Крымский район по Трехмандатному избирательному округу №3 </w:t>
      </w:r>
      <w:r>
        <w:rPr>
          <w:szCs w:val="28"/>
        </w:rPr>
        <w:t>28 июля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2025 года в </w:t>
      </w:r>
      <w:r>
        <w:rPr>
          <w:color w:val="auto"/>
          <w:szCs w:val="28"/>
        </w:rPr>
        <w:t>09 часов 0</w:t>
      </w:r>
      <w:r>
        <w:rPr>
          <w:color w:val="auto"/>
          <w:szCs w:val="28"/>
        </w:rPr>
        <w:t>8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>минут.</w:t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>2. Вручить Матевосяну Артаку Рубиковичу</w:t>
      </w:r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auto" w:line="276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</w:r>
      <w:bookmarkStart w:id="0" w:name="_GoBack"/>
      <w:bookmarkEnd w:id="0"/>
      <w:r>
        <w:rPr>
          <w:szCs w:val="28"/>
        </w:rPr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54D54-B3BC-4445-A04C-29772F96C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LibreOffice/7.3.7.2$Linux_X86_64 LibreOffice_project/30$Build-2</Application>
  <AppVersion>15.0000</AppVersion>
  <Pages>1</Pages>
  <Words>234</Words>
  <Characters>1711</Characters>
  <CharactersWithSpaces>2026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2025-07-20T09:37:00Z</dcterms:created>
  <dc:creator>ТИК Абинская</dc:creator>
  <dc:description/>
  <dc:language>ru-RU</dc:language>
  <cp:lastModifiedBy/>
  <cp:lastPrinted>2025-07-27T12:21:51Z</cp:lastPrinted>
  <dcterms:modified xsi:type="dcterms:W3CDTF">2025-07-27T12:21:54Z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