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E130A" w14:textId="77777777" w:rsidR="00D906A7" w:rsidRPr="00AE14DF" w:rsidRDefault="00D906A7" w:rsidP="00D906A7">
      <w:pPr>
        <w:rPr>
          <w:rFonts w:ascii="Times New Roman" w:hAnsi="Times New Roman" w:cs="Times New Roman"/>
          <w:b/>
          <w:sz w:val="24"/>
          <w:szCs w:val="24"/>
          <w:u w:val="single"/>
        </w:rPr>
      </w:pPr>
      <w:r w:rsidRPr="00AE14DF">
        <w:rPr>
          <w:rFonts w:ascii="Times New Roman" w:hAnsi="Times New Roman" w:cs="Times New Roman"/>
          <w:b/>
          <w:sz w:val="24"/>
          <w:szCs w:val="24"/>
          <w:u w:val="single"/>
        </w:rPr>
        <w:t>ОД-2. Зона делового, общественного и коммерческого назначения местного значения.</w:t>
      </w:r>
    </w:p>
    <w:p w14:paraId="2A1D5275" w14:textId="77777777" w:rsidR="00D906A7" w:rsidRPr="00AE14DF" w:rsidRDefault="00D906A7" w:rsidP="00D906A7">
      <w:pPr>
        <w:rPr>
          <w:rFonts w:ascii="Times New Roman" w:hAnsi="Times New Roman" w:cs="Times New Roman"/>
          <w:i/>
          <w:iCs/>
          <w:sz w:val="24"/>
          <w:szCs w:val="24"/>
        </w:rPr>
      </w:pPr>
      <w:r w:rsidRPr="00AE14DF">
        <w:rPr>
          <w:rFonts w:ascii="Times New Roman" w:hAnsi="Times New Roman" w:cs="Times New Roman"/>
          <w:i/>
          <w:iCs/>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41F11497" w14:textId="77777777" w:rsidR="00D906A7" w:rsidRPr="00AE14DF" w:rsidRDefault="00D906A7" w:rsidP="00D906A7">
      <w:pPr>
        <w:rPr>
          <w:rFonts w:ascii="Times New Roman" w:hAnsi="Times New Roman" w:cs="Times New Roman"/>
          <w:b/>
          <w:sz w:val="24"/>
          <w:szCs w:val="24"/>
        </w:rPr>
      </w:pPr>
    </w:p>
    <w:p w14:paraId="58AFC6A3"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906A7" w:rsidRPr="00AE14DF" w14:paraId="5B61C921" w14:textId="77777777" w:rsidTr="00440541">
        <w:trPr>
          <w:trHeight w:val="20"/>
        </w:trPr>
        <w:tc>
          <w:tcPr>
            <w:tcW w:w="3545" w:type="dxa"/>
            <w:vAlign w:val="center"/>
          </w:tcPr>
          <w:p w14:paraId="6A6436A0"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Виды разрешенного использования земельных участков</w:t>
            </w:r>
          </w:p>
        </w:tc>
        <w:tc>
          <w:tcPr>
            <w:tcW w:w="5670" w:type="dxa"/>
            <w:vAlign w:val="center"/>
          </w:tcPr>
          <w:p w14:paraId="2190890B"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Описание вида разрешенного использования земельного участка</w:t>
            </w:r>
          </w:p>
        </w:tc>
        <w:tc>
          <w:tcPr>
            <w:tcW w:w="6378" w:type="dxa"/>
            <w:vAlign w:val="center"/>
          </w:tcPr>
          <w:p w14:paraId="40E63A92"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06A7" w:rsidRPr="00AE14DF" w14:paraId="4D8957DE" w14:textId="77777777" w:rsidTr="00440541">
        <w:trPr>
          <w:trHeight w:val="20"/>
        </w:trPr>
        <w:tc>
          <w:tcPr>
            <w:tcW w:w="3545" w:type="dxa"/>
            <w:vAlign w:val="center"/>
          </w:tcPr>
          <w:p w14:paraId="516DEBE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[3.8.1] - Государственное управление</w:t>
            </w:r>
          </w:p>
        </w:tc>
        <w:tc>
          <w:tcPr>
            <w:tcW w:w="5670" w:type="dxa"/>
            <w:shd w:val="clear" w:color="auto" w:fill="auto"/>
            <w:vAlign w:val="center"/>
          </w:tcPr>
          <w:p w14:paraId="00FED80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предназначенных</w:t>
            </w:r>
          </w:p>
          <w:p w14:paraId="4BB159D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6DD108F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 /</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0750D77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43661EC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3FB7CDD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0960ECF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666F0E6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00663952" w14:textId="77777777" w:rsidTr="00440541">
        <w:trPr>
          <w:trHeight w:val="20"/>
        </w:trPr>
        <w:tc>
          <w:tcPr>
            <w:tcW w:w="3545" w:type="dxa"/>
            <w:vAlign w:val="center"/>
          </w:tcPr>
          <w:p w14:paraId="28FCCB8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[4.1] - Деловое управление</w:t>
            </w:r>
          </w:p>
        </w:tc>
        <w:tc>
          <w:tcPr>
            <w:tcW w:w="5670" w:type="dxa"/>
            <w:vAlign w:val="center"/>
          </w:tcPr>
          <w:p w14:paraId="051982E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AE14DF">
              <w:rPr>
                <w:rFonts w:ascii="Times New Roman" w:hAnsi="Times New Roman" w:cs="Times New Roman"/>
                <w:sz w:val="24"/>
                <w:szCs w:val="24"/>
              </w:rPr>
              <w:lastRenderedPageBreak/>
              <w:t>биржевая деятельность (за исключением банковской и страховой деятельности)</w:t>
            </w:r>
          </w:p>
        </w:tc>
        <w:tc>
          <w:tcPr>
            <w:tcW w:w="6378" w:type="dxa"/>
          </w:tcPr>
          <w:p w14:paraId="3EC028A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минимальная/максимальная площадь земельных участков  – 400 кв. м /</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6CE503E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28D3C8A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5FC6762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максимальное количество надземных этажей зданий – 4 этажа (включая мансардный этаж);</w:t>
            </w:r>
          </w:p>
          <w:p w14:paraId="5BB09AA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212AC22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0344A5C" w14:textId="77777777" w:rsidTr="00440541">
        <w:trPr>
          <w:trHeight w:val="838"/>
        </w:trPr>
        <w:tc>
          <w:tcPr>
            <w:tcW w:w="3545" w:type="dxa"/>
            <w:vAlign w:val="center"/>
          </w:tcPr>
          <w:p w14:paraId="6CB19D4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[4.5] - Банковская и страховая деятельность</w:t>
            </w:r>
          </w:p>
        </w:tc>
        <w:tc>
          <w:tcPr>
            <w:tcW w:w="5670" w:type="dxa"/>
            <w:shd w:val="clear" w:color="auto" w:fill="auto"/>
            <w:vAlign w:val="center"/>
          </w:tcPr>
          <w:p w14:paraId="74EBD09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15ADF54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4DA7056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1B86EFC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22A950F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54945CB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5AB4ABE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F317558" w14:textId="77777777" w:rsidTr="00440541">
        <w:trPr>
          <w:trHeight w:val="20"/>
        </w:trPr>
        <w:tc>
          <w:tcPr>
            <w:tcW w:w="3545" w:type="dxa"/>
            <w:vAlign w:val="center"/>
          </w:tcPr>
          <w:p w14:paraId="51158C2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[3.2.2] - Оказание социальной помощи населению</w:t>
            </w:r>
          </w:p>
        </w:tc>
        <w:tc>
          <w:tcPr>
            <w:tcW w:w="5670" w:type="dxa"/>
            <w:shd w:val="clear" w:color="auto" w:fill="auto"/>
            <w:vAlign w:val="center"/>
          </w:tcPr>
          <w:p w14:paraId="42AEA11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067B36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некоммерческих фондов, благотворительных организаций, клубов по интересам</w:t>
            </w:r>
          </w:p>
        </w:tc>
        <w:tc>
          <w:tcPr>
            <w:tcW w:w="6378" w:type="dxa"/>
            <w:vMerge/>
          </w:tcPr>
          <w:p w14:paraId="655B0090" w14:textId="77777777" w:rsidR="00D906A7" w:rsidRPr="00AE14DF" w:rsidRDefault="00D906A7" w:rsidP="00D906A7">
            <w:pPr>
              <w:rPr>
                <w:rFonts w:ascii="Times New Roman" w:hAnsi="Times New Roman" w:cs="Times New Roman"/>
                <w:sz w:val="24"/>
                <w:szCs w:val="24"/>
              </w:rPr>
            </w:pPr>
          </w:p>
        </w:tc>
      </w:tr>
      <w:tr w:rsidR="00D906A7" w:rsidRPr="00AE14DF" w14:paraId="243E84E5" w14:textId="77777777" w:rsidTr="00440541">
        <w:trPr>
          <w:trHeight w:val="20"/>
        </w:trPr>
        <w:tc>
          <w:tcPr>
            <w:tcW w:w="3545" w:type="dxa"/>
            <w:vAlign w:val="center"/>
          </w:tcPr>
          <w:p w14:paraId="576F936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[3.2.3] - Оказание услуг связи</w:t>
            </w:r>
          </w:p>
        </w:tc>
        <w:tc>
          <w:tcPr>
            <w:tcW w:w="5670" w:type="dxa"/>
            <w:shd w:val="clear" w:color="auto" w:fill="auto"/>
            <w:vAlign w:val="center"/>
          </w:tcPr>
          <w:p w14:paraId="6E778A2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7AFBAD91" w14:textId="77777777" w:rsidR="00D906A7" w:rsidRPr="00AE14DF" w:rsidRDefault="00D906A7" w:rsidP="00D906A7">
            <w:pPr>
              <w:rPr>
                <w:rFonts w:ascii="Times New Roman" w:hAnsi="Times New Roman" w:cs="Times New Roman"/>
                <w:sz w:val="24"/>
                <w:szCs w:val="24"/>
              </w:rPr>
            </w:pPr>
          </w:p>
        </w:tc>
      </w:tr>
      <w:tr w:rsidR="00D906A7" w:rsidRPr="00AE14DF" w14:paraId="3F2E9ECB" w14:textId="77777777" w:rsidTr="00440541">
        <w:trPr>
          <w:trHeight w:val="20"/>
        </w:trPr>
        <w:tc>
          <w:tcPr>
            <w:tcW w:w="3545" w:type="dxa"/>
            <w:vAlign w:val="center"/>
          </w:tcPr>
          <w:p w14:paraId="0D7D0A5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[3.2.4] - Общежития</w:t>
            </w:r>
          </w:p>
        </w:tc>
        <w:tc>
          <w:tcPr>
            <w:tcW w:w="5670" w:type="dxa"/>
            <w:shd w:val="clear" w:color="auto" w:fill="auto"/>
            <w:vAlign w:val="center"/>
          </w:tcPr>
          <w:p w14:paraId="1102EB4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3808A855" w14:textId="77777777" w:rsidR="00D906A7" w:rsidRPr="00AE14DF" w:rsidRDefault="00D906A7" w:rsidP="00D906A7">
            <w:pPr>
              <w:rPr>
                <w:rFonts w:ascii="Times New Roman" w:hAnsi="Times New Roman" w:cs="Times New Roman"/>
                <w:sz w:val="24"/>
                <w:szCs w:val="24"/>
              </w:rPr>
            </w:pPr>
          </w:p>
        </w:tc>
      </w:tr>
      <w:tr w:rsidR="00D906A7" w:rsidRPr="00AE14DF" w14:paraId="349A6052" w14:textId="77777777" w:rsidTr="00440541">
        <w:trPr>
          <w:trHeight w:val="20"/>
        </w:trPr>
        <w:tc>
          <w:tcPr>
            <w:tcW w:w="3545" w:type="dxa"/>
            <w:vAlign w:val="center"/>
          </w:tcPr>
          <w:p w14:paraId="7A8EAA6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[3.6.1] – Объекты культурно-</w:t>
            </w:r>
            <w:r w:rsidRPr="00AE14DF">
              <w:rPr>
                <w:rFonts w:ascii="Times New Roman" w:hAnsi="Times New Roman" w:cs="Times New Roman"/>
                <w:sz w:val="24"/>
                <w:szCs w:val="24"/>
              </w:rPr>
              <w:lastRenderedPageBreak/>
              <w:t>досуговой деятельности</w:t>
            </w:r>
          </w:p>
        </w:tc>
        <w:tc>
          <w:tcPr>
            <w:tcW w:w="5670" w:type="dxa"/>
            <w:vAlign w:val="center"/>
          </w:tcPr>
          <w:p w14:paraId="4E2B6D3C"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lastRenderedPageBreak/>
              <w:t xml:space="preserve">Размещение зданий, предназначенных для </w:t>
            </w:r>
            <w:r w:rsidRPr="00AE14DF">
              <w:rPr>
                <w:rFonts w:ascii="Times New Roman" w:hAnsi="Times New Roman" w:cs="Times New Roman"/>
                <w:sz w:val="24"/>
                <w:szCs w:val="24"/>
              </w:rPr>
              <w:lastRenderedPageBreak/>
              <w:t>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378" w:type="dxa"/>
            <w:vAlign w:val="center"/>
          </w:tcPr>
          <w:p w14:paraId="730A658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 xml:space="preserve">минимальная/максимальная площадь земельных участков  </w:t>
            </w:r>
            <w:r w:rsidRPr="00AE14DF">
              <w:rPr>
                <w:rFonts w:ascii="Times New Roman" w:hAnsi="Times New Roman" w:cs="Times New Roman"/>
                <w:sz w:val="24"/>
                <w:szCs w:val="24"/>
              </w:rPr>
              <w:lastRenderedPageBreak/>
              <w:t>– 400 кв. м /</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 xml:space="preserve">; </w:t>
            </w:r>
          </w:p>
          <w:p w14:paraId="70E6820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56171C2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4FA1289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749F09C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14484C0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E6AE8AB" w14:textId="77777777" w:rsidTr="00440541">
        <w:trPr>
          <w:trHeight w:val="20"/>
        </w:trPr>
        <w:tc>
          <w:tcPr>
            <w:tcW w:w="3545" w:type="dxa"/>
            <w:vAlign w:val="center"/>
          </w:tcPr>
          <w:p w14:paraId="216DFC36"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lastRenderedPageBreak/>
              <w:t>[4.2] - Объекты торговли (торговые центры, торгово-развлекательные центры (комплексы)</w:t>
            </w:r>
            <w:proofErr w:type="gramEnd"/>
          </w:p>
        </w:tc>
        <w:tc>
          <w:tcPr>
            <w:tcW w:w="5670" w:type="dxa"/>
            <w:vAlign w:val="center"/>
          </w:tcPr>
          <w:p w14:paraId="137175F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02C7501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100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335911A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7B07C29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73C1C45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6B955C1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5BFC057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5BB15E4B" w14:textId="77777777" w:rsidTr="00440541">
        <w:trPr>
          <w:trHeight w:val="20"/>
        </w:trPr>
        <w:tc>
          <w:tcPr>
            <w:tcW w:w="3545" w:type="dxa"/>
            <w:vAlign w:val="center"/>
          </w:tcPr>
          <w:p w14:paraId="166CCFA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[4.3] - Рынки</w:t>
            </w:r>
          </w:p>
        </w:tc>
        <w:tc>
          <w:tcPr>
            <w:tcW w:w="5670" w:type="dxa"/>
          </w:tcPr>
          <w:p w14:paraId="6767D48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1550E6C2" w14:textId="77777777" w:rsidR="00D906A7" w:rsidRPr="00AE14DF" w:rsidRDefault="00D906A7" w:rsidP="00D906A7">
            <w:pPr>
              <w:rPr>
                <w:rFonts w:ascii="Times New Roman" w:hAnsi="Times New Roman" w:cs="Times New Roman"/>
                <w:sz w:val="24"/>
                <w:szCs w:val="24"/>
              </w:rPr>
            </w:pPr>
          </w:p>
        </w:tc>
      </w:tr>
      <w:tr w:rsidR="00D906A7" w:rsidRPr="00AE14DF" w14:paraId="40151DD3" w14:textId="77777777" w:rsidTr="00440541">
        <w:trPr>
          <w:trHeight w:val="20"/>
        </w:trPr>
        <w:tc>
          <w:tcPr>
            <w:tcW w:w="3545" w:type="dxa"/>
            <w:vAlign w:val="center"/>
          </w:tcPr>
          <w:p w14:paraId="3E7B377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[4.4] - Магазины</w:t>
            </w:r>
          </w:p>
        </w:tc>
        <w:tc>
          <w:tcPr>
            <w:tcW w:w="5670" w:type="dxa"/>
            <w:vAlign w:val="center"/>
          </w:tcPr>
          <w:p w14:paraId="180BB05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1379BB5A" w14:textId="77777777" w:rsidR="00D906A7" w:rsidRPr="00AE14DF" w:rsidRDefault="00D906A7" w:rsidP="00D906A7">
            <w:pPr>
              <w:rPr>
                <w:rFonts w:ascii="Times New Roman" w:hAnsi="Times New Roman" w:cs="Times New Roman"/>
                <w:sz w:val="24"/>
                <w:szCs w:val="24"/>
              </w:rPr>
            </w:pPr>
          </w:p>
        </w:tc>
      </w:tr>
      <w:tr w:rsidR="00D906A7" w:rsidRPr="00AE14DF" w14:paraId="154E50FB" w14:textId="77777777" w:rsidTr="00440541">
        <w:trPr>
          <w:trHeight w:val="20"/>
        </w:trPr>
        <w:tc>
          <w:tcPr>
            <w:tcW w:w="3545" w:type="dxa"/>
            <w:vAlign w:val="center"/>
          </w:tcPr>
          <w:p w14:paraId="0525EEF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[4.10] - </w:t>
            </w:r>
            <w:proofErr w:type="spellStart"/>
            <w:r w:rsidRPr="00AE14DF">
              <w:rPr>
                <w:rFonts w:ascii="Times New Roman" w:hAnsi="Times New Roman" w:cs="Times New Roman"/>
                <w:sz w:val="24"/>
                <w:szCs w:val="24"/>
              </w:rPr>
              <w:t>Выставочно</w:t>
            </w:r>
            <w:proofErr w:type="spellEnd"/>
            <w:r w:rsidRPr="00AE14DF">
              <w:rPr>
                <w:rFonts w:ascii="Times New Roman" w:hAnsi="Times New Roman" w:cs="Times New Roman"/>
                <w:sz w:val="24"/>
                <w:szCs w:val="24"/>
              </w:rPr>
              <w:t>-ярмарочная деятельность</w:t>
            </w:r>
          </w:p>
        </w:tc>
        <w:tc>
          <w:tcPr>
            <w:tcW w:w="5670" w:type="dxa"/>
          </w:tcPr>
          <w:p w14:paraId="1B4E106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Объекты капитального строительства, сооружения, предназначены для осуществления </w:t>
            </w:r>
            <w:proofErr w:type="spellStart"/>
            <w:r w:rsidRPr="00AE14DF">
              <w:rPr>
                <w:rFonts w:ascii="Times New Roman" w:hAnsi="Times New Roman" w:cs="Times New Roman"/>
                <w:sz w:val="24"/>
                <w:szCs w:val="24"/>
              </w:rPr>
              <w:t>выставочно</w:t>
            </w:r>
            <w:proofErr w:type="spellEnd"/>
            <w:r w:rsidRPr="00AE14DF">
              <w:rPr>
                <w:rFonts w:ascii="Times New Roman" w:hAnsi="Times New Roman" w:cs="Times New Roman"/>
                <w:sz w:val="24"/>
                <w:szCs w:val="24"/>
              </w:rPr>
              <w:t xml:space="preserve">-ярмарочной и </w:t>
            </w:r>
            <w:proofErr w:type="spellStart"/>
            <w:r w:rsidRPr="00AE14DF">
              <w:rPr>
                <w:rFonts w:ascii="Times New Roman" w:hAnsi="Times New Roman" w:cs="Times New Roman"/>
                <w:sz w:val="24"/>
                <w:szCs w:val="24"/>
              </w:rPr>
              <w:t>конгрессной</w:t>
            </w:r>
            <w:proofErr w:type="spellEnd"/>
            <w:r w:rsidRPr="00AE14DF">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w:t>
            </w:r>
            <w:r w:rsidRPr="00AE14DF">
              <w:rPr>
                <w:rFonts w:ascii="Times New Roman" w:hAnsi="Times New Roman" w:cs="Times New Roman"/>
                <w:sz w:val="24"/>
                <w:szCs w:val="24"/>
              </w:rPr>
              <w:lastRenderedPageBreak/>
              <w:t>мероприятий)</w:t>
            </w:r>
          </w:p>
        </w:tc>
        <w:tc>
          <w:tcPr>
            <w:tcW w:w="6378" w:type="dxa"/>
            <w:vMerge/>
            <w:vAlign w:val="center"/>
          </w:tcPr>
          <w:p w14:paraId="1CD793D0" w14:textId="77777777" w:rsidR="00D906A7" w:rsidRPr="00AE14DF" w:rsidRDefault="00D906A7" w:rsidP="00D906A7">
            <w:pPr>
              <w:rPr>
                <w:rFonts w:ascii="Times New Roman" w:hAnsi="Times New Roman" w:cs="Times New Roman"/>
                <w:sz w:val="24"/>
                <w:szCs w:val="24"/>
              </w:rPr>
            </w:pPr>
          </w:p>
        </w:tc>
      </w:tr>
      <w:tr w:rsidR="00D906A7" w:rsidRPr="00AE14DF" w14:paraId="24E73706" w14:textId="77777777" w:rsidTr="00440541">
        <w:trPr>
          <w:trHeight w:val="20"/>
        </w:trPr>
        <w:tc>
          <w:tcPr>
            <w:tcW w:w="3545" w:type="dxa"/>
            <w:shd w:val="clear" w:color="auto" w:fill="auto"/>
            <w:vAlign w:val="center"/>
          </w:tcPr>
          <w:p w14:paraId="78856C6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[4.6] – Общественное питание</w:t>
            </w:r>
          </w:p>
        </w:tc>
        <w:tc>
          <w:tcPr>
            <w:tcW w:w="5670" w:type="dxa"/>
            <w:shd w:val="clear" w:color="auto" w:fill="auto"/>
            <w:vAlign w:val="center"/>
          </w:tcPr>
          <w:p w14:paraId="319D50C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7B30277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300 кв. м/5000 кв. м;</w:t>
            </w:r>
          </w:p>
          <w:p w14:paraId="0167369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6FA6B6A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69B9A5B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3 этажа (включая мансардный этаж);</w:t>
            </w:r>
          </w:p>
          <w:p w14:paraId="121757B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248BDE9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29AB6B4E" w14:textId="77777777" w:rsidTr="00440541">
        <w:trPr>
          <w:trHeight w:val="20"/>
        </w:trPr>
        <w:tc>
          <w:tcPr>
            <w:tcW w:w="3545" w:type="dxa"/>
            <w:shd w:val="clear" w:color="auto" w:fill="auto"/>
            <w:vAlign w:val="center"/>
          </w:tcPr>
          <w:p w14:paraId="5536B7C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[3.3] - Бытовое обслуживание</w:t>
            </w:r>
          </w:p>
        </w:tc>
        <w:tc>
          <w:tcPr>
            <w:tcW w:w="5670" w:type="dxa"/>
            <w:shd w:val="clear" w:color="auto" w:fill="auto"/>
            <w:vAlign w:val="center"/>
          </w:tcPr>
          <w:p w14:paraId="2F35E60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41C74B8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100 кв. м/5000 кв. м;</w:t>
            </w:r>
          </w:p>
          <w:p w14:paraId="15A851F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755DD3E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2B9787A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3 этажа (включая мансардный этаж);</w:t>
            </w:r>
          </w:p>
          <w:p w14:paraId="6F3C152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6F04E3F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4967E4A" w14:textId="77777777" w:rsidTr="00440541">
        <w:trPr>
          <w:trHeight w:val="20"/>
        </w:trPr>
        <w:tc>
          <w:tcPr>
            <w:tcW w:w="3545" w:type="dxa"/>
            <w:vAlign w:val="center"/>
          </w:tcPr>
          <w:p w14:paraId="304055B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[4.8.1] – Развлекательные мероприятия</w:t>
            </w:r>
          </w:p>
        </w:tc>
        <w:tc>
          <w:tcPr>
            <w:tcW w:w="5670" w:type="dxa"/>
            <w:vAlign w:val="center"/>
          </w:tcPr>
          <w:p w14:paraId="2F2456A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w:t>
            </w:r>
            <w:r w:rsidRPr="00AE14DF">
              <w:rPr>
                <w:rFonts w:ascii="Times New Roman" w:hAnsi="Times New Roman" w:cs="Times New Roman"/>
                <w:sz w:val="24"/>
                <w:szCs w:val="24"/>
              </w:rPr>
              <w:lastRenderedPageBreak/>
              <w:t>игровых площадок</w:t>
            </w:r>
          </w:p>
        </w:tc>
        <w:tc>
          <w:tcPr>
            <w:tcW w:w="6378" w:type="dxa"/>
            <w:vAlign w:val="center"/>
          </w:tcPr>
          <w:p w14:paraId="201CCEA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минимальная/максимальная площадь земельных участков  – 100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0C2FFCC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28008B8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37F46BF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максимальное количество надземных этажей зданий – 3 этажа (включая мансардный этаж);</w:t>
            </w:r>
          </w:p>
          <w:p w14:paraId="36DFB57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строений, сооружений от уровня земли - 15 м;</w:t>
            </w:r>
          </w:p>
          <w:p w14:paraId="3F42111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tc>
      </w:tr>
      <w:tr w:rsidR="00D906A7" w:rsidRPr="00AE14DF" w14:paraId="64F692C6" w14:textId="77777777" w:rsidTr="00440541">
        <w:trPr>
          <w:trHeight w:val="20"/>
        </w:trPr>
        <w:tc>
          <w:tcPr>
            <w:tcW w:w="3545" w:type="dxa"/>
            <w:vAlign w:val="center"/>
          </w:tcPr>
          <w:p w14:paraId="7C77BC0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[4.7] - Гостиничное обслуживание</w:t>
            </w:r>
          </w:p>
        </w:tc>
        <w:tc>
          <w:tcPr>
            <w:tcW w:w="5670" w:type="dxa"/>
            <w:vAlign w:val="center"/>
          </w:tcPr>
          <w:p w14:paraId="1875BFB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14:paraId="7847F77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м/5000 кв. м;</w:t>
            </w:r>
          </w:p>
          <w:p w14:paraId="7BEC737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39170FD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44C6D8E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1B7C328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06AAE3E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5D967F17" w14:textId="77777777" w:rsidTr="00440541">
        <w:trPr>
          <w:trHeight w:val="20"/>
        </w:trPr>
        <w:tc>
          <w:tcPr>
            <w:tcW w:w="3545" w:type="dxa"/>
            <w:vAlign w:val="center"/>
          </w:tcPr>
          <w:p w14:paraId="62699F0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[3.1.2] - Административные здания организаций, обеспечивающих предоставление коммунальных услуг</w:t>
            </w:r>
          </w:p>
          <w:p w14:paraId="0907AFDC" w14:textId="77777777" w:rsidR="00D906A7" w:rsidRPr="00AE14DF" w:rsidRDefault="00D906A7" w:rsidP="00D906A7">
            <w:pPr>
              <w:rPr>
                <w:rFonts w:ascii="Times New Roman" w:hAnsi="Times New Roman" w:cs="Times New Roman"/>
                <w:sz w:val="24"/>
                <w:szCs w:val="24"/>
              </w:rPr>
            </w:pPr>
          </w:p>
        </w:tc>
        <w:tc>
          <w:tcPr>
            <w:tcW w:w="5670" w:type="dxa"/>
            <w:vAlign w:val="center"/>
          </w:tcPr>
          <w:p w14:paraId="06F2414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16BDDBD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bCs/>
                <w:sz w:val="24"/>
                <w:szCs w:val="24"/>
              </w:rPr>
              <w:t>;</w:t>
            </w:r>
            <w:r w:rsidRPr="00AE14DF">
              <w:rPr>
                <w:rFonts w:ascii="Times New Roman" w:hAnsi="Times New Roman" w:cs="Times New Roman"/>
                <w:sz w:val="24"/>
                <w:szCs w:val="24"/>
              </w:rPr>
              <w:t xml:space="preserve"> </w:t>
            </w:r>
          </w:p>
          <w:p w14:paraId="0CA690C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6D0E0B4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4ED441F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максимальное количество надземных этажей зданий – 3 этажа (включая мансардный этаж); </w:t>
            </w:r>
          </w:p>
          <w:p w14:paraId="3FF48FF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строений, сооружений от уровня земли - 20 м;</w:t>
            </w:r>
          </w:p>
          <w:p w14:paraId="244365F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48AADAB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Процент застройки подземной части не регламентируется.</w:t>
            </w:r>
          </w:p>
        </w:tc>
      </w:tr>
      <w:tr w:rsidR="00D906A7" w:rsidRPr="00AE14DF" w14:paraId="06A2EBFC" w14:textId="77777777" w:rsidTr="00440541">
        <w:trPr>
          <w:trHeight w:val="3312"/>
        </w:trPr>
        <w:tc>
          <w:tcPr>
            <w:tcW w:w="3545" w:type="dxa"/>
            <w:shd w:val="clear" w:color="auto" w:fill="auto"/>
            <w:vAlign w:val="center"/>
          </w:tcPr>
          <w:p w14:paraId="71968DE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[3.9.1] - Обеспечение деятельности в области гидрометеорологии и смежных с ней областях</w:t>
            </w:r>
          </w:p>
        </w:tc>
        <w:tc>
          <w:tcPr>
            <w:tcW w:w="5670" w:type="dxa"/>
            <w:shd w:val="clear" w:color="auto" w:fill="auto"/>
            <w:vAlign w:val="center"/>
          </w:tcPr>
          <w:p w14:paraId="37CF2DD0"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378" w:type="dxa"/>
            <w:vAlign w:val="center"/>
          </w:tcPr>
          <w:p w14:paraId="221D5C4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- 10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5B6AEAB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4 м;</w:t>
            </w:r>
          </w:p>
          <w:p w14:paraId="2FBB21C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390CC5E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максимальное количество надземных этажей зданий – 3 этажа (включая мансардный этаж); </w:t>
            </w:r>
          </w:p>
          <w:p w14:paraId="3A12437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строений, сооружений от уровня земли - 35 м;</w:t>
            </w:r>
          </w:p>
          <w:p w14:paraId="69B2ACF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80%;</w:t>
            </w:r>
          </w:p>
        </w:tc>
      </w:tr>
      <w:tr w:rsidR="00D906A7" w:rsidRPr="00AE14DF" w14:paraId="4B36C85B" w14:textId="77777777" w:rsidTr="00440541">
        <w:trPr>
          <w:trHeight w:val="20"/>
        </w:trPr>
        <w:tc>
          <w:tcPr>
            <w:tcW w:w="3545" w:type="dxa"/>
            <w:shd w:val="clear" w:color="auto" w:fill="auto"/>
            <w:vAlign w:val="center"/>
          </w:tcPr>
          <w:p w14:paraId="3343CB0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[12.0.1] - Улично-дорожная сеть</w:t>
            </w:r>
          </w:p>
        </w:tc>
        <w:tc>
          <w:tcPr>
            <w:tcW w:w="5670" w:type="dxa"/>
            <w:shd w:val="clear" w:color="auto" w:fill="auto"/>
            <w:vAlign w:val="center"/>
          </w:tcPr>
          <w:p w14:paraId="4ACFE8DD"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14DF">
              <w:rPr>
                <w:rFonts w:ascii="Times New Roman" w:hAnsi="Times New Roman" w:cs="Times New Roman"/>
                <w:sz w:val="24"/>
                <w:szCs w:val="24"/>
              </w:rPr>
              <w:t>велотранспортной</w:t>
            </w:r>
            <w:proofErr w:type="spellEnd"/>
            <w:r w:rsidRPr="00AE14DF">
              <w:rPr>
                <w:rFonts w:ascii="Times New Roman" w:hAnsi="Times New Roman" w:cs="Times New Roman"/>
                <w:sz w:val="24"/>
                <w:szCs w:val="24"/>
              </w:rPr>
              <w:t xml:space="preserve"> и инженерной инфраструктуры;</w:t>
            </w:r>
            <w:r w:rsidRPr="00AE14DF">
              <w:rPr>
                <w:rFonts w:ascii="Times New Roman" w:hAnsi="Times New Roman" w:cs="Times New Roman"/>
                <w:sz w:val="24"/>
                <w:szCs w:val="24"/>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14:paraId="252537A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Регламенты не подлежат установлению.</w:t>
            </w:r>
          </w:p>
          <w:p w14:paraId="1FD50BE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D906A7" w:rsidRPr="00AE14DF" w14:paraId="0D0779EC" w14:textId="77777777" w:rsidTr="00440541">
        <w:trPr>
          <w:trHeight w:val="529"/>
        </w:trPr>
        <w:tc>
          <w:tcPr>
            <w:tcW w:w="3545" w:type="dxa"/>
            <w:shd w:val="clear" w:color="auto" w:fill="auto"/>
            <w:vAlign w:val="center"/>
          </w:tcPr>
          <w:p w14:paraId="0FB1155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[12.0.2] - Благоустройство территории</w:t>
            </w:r>
          </w:p>
        </w:tc>
        <w:tc>
          <w:tcPr>
            <w:tcW w:w="5670" w:type="dxa"/>
            <w:shd w:val="clear" w:color="auto" w:fill="auto"/>
            <w:vAlign w:val="center"/>
          </w:tcPr>
          <w:p w14:paraId="178B782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w:t>
            </w:r>
            <w:r w:rsidRPr="00AE14DF">
              <w:rPr>
                <w:rFonts w:ascii="Times New Roman" w:hAnsi="Times New Roman" w:cs="Times New Roman"/>
                <w:sz w:val="24"/>
                <w:szCs w:val="24"/>
              </w:rPr>
              <w:lastRenderedPageBreak/>
              <w:t>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5C8C4A33" w14:textId="77777777" w:rsidR="00D906A7" w:rsidRPr="00AE14DF" w:rsidRDefault="00D906A7" w:rsidP="00D906A7">
            <w:pPr>
              <w:rPr>
                <w:rFonts w:ascii="Times New Roman" w:hAnsi="Times New Roman" w:cs="Times New Roman"/>
                <w:sz w:val="24"/>
                <w:szCs w:val="24"/>
              </w:rPr>
            </w:pPr>
          </w:p>
        </w:tc>
      </w:tr>
      <w:tr w:rsidR="00D906A7" w:rsidRPr="00AE14DF" w14:paraId="786B1CA2" w14:textId="77777777" w:rsidTr="00440541">
        <w:trPr>
          <w:trHeight w:val="20"/>
        </w:trPr>
        <w:tc>
          <w:tcPr>
            <w:tcW w:w="3545" w:type="dxa"/>
            <w:shd w:val="clear" w:color="auto" w:fill="auto"/>
            <w:vAlign w:val="center"/>
          </w:tcPr>
          <w:p w14:paraId="72DCFBB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[3.6.2] – Парки культуры и отдыха</w:t>
            </w:r>
          </w:p>
        </w:tc>
        <w:tc>
          <w:tcPr>
            <w:tcW w:w="5670" w:type="dxa"/>
            <w:shd w:val="clear" w:color="auto" w:fill="auto"/>
            <w:vAlign w:val="center"/>
          </w:tcPr>
          <w:p w14:paraId="22B1A96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парков культуры и отдыха</w:t>
            </w:r>
          </w:p>
        </w:tc>
        <w:tc>
          <w:tcPr>
            <w:tcW w:w="6378" w:type="dxa"/>
            <w:vAlign w:val="center"/>
          </w:tcPr>
          <w:p w14:paraId="14BC62B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400 кв. м. /</w:t>
            </w:r>
            <w:r w:rsidRPr="00AE14DF">
              <w:rPr>
                <w:rFonts w:ascii="Times New Roman" w:hAnsi="Times New Roman" w:cs="Times New Roman"/>
                <w:b/>
                <w:sz w:val="24"/>
                <w:szCs w:val="24"/>
              </w:rPr>
              <w:t>не подлежит установлению</w:t>
            </w:r>
            <w:r w:rsidRPr="00AE14DF">
              <w:rPr>
                <w:rFonts w:ascii="Times New Roman" w:hAnsi="Times New Roman" w:cs="Times New Roman"/>
                <w:sz w:val="24"/>
                <w:szCs w:val="24"/>
              </w:rPr>
              <w:t>;</w:t>
            </w:r>
          </w:p>
          <w:p w14:paraId="1A246E0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29D26E9" w14:textId="77777777" w:rsidR="00D906A7" w:rsidRPr="00AE14DF" w:rsidRDefault="00D906A7" w:rsidP="00D906A7">
            <w:pPr>
              <w:rPr>
                <w:rFonts w:ascii="Times New Roman" w:hAnsi="Times New Roman" w:cs="Times New Roman"/>
                <w:sz w:val="24"/>
                <w:szCs w:val="24"/>
              </w:rPr>
            </w:pPr>
          </w:p>
          <w:p w14:paraId="61EA6680" w14:textId="77777777" w:rsidR="00D906A7" w:rsidRPr="00AE14DF" w:rsidRDefault="00D906A7" w:rsidP="00D906A7">
            <w:pPr>
              <w:rPr>
                <w:rFonts w:ascii="Times New Roman" w:hAnsi="Times New Roman" w:cs="Times New Roman"/>
                <w:sz w:val="24"/>
                <w:szCs w:val="24"/>
              </w:rPr>
            </w:pPr>
          </w:p>
        </w:tc>
      </w:tr>
    </w:tbl>
    <w:p w14:paraId="4036656B" w14:textId="77777777" w:rsidR="00D906A7" w:rsidRPr="00AE14DF" w:rsidRDefault="00D906A7" w:rsidP="00D906A7">
      <w:pPr>
        <w:rPr>
          <w:rFonts w:ascii="Times New Roman" w:hAnsi="Times New Roman" w:cs="Times New Roman"/>
          <w:b/>
          <w:i/>
          <w:iCs/>
          <w:sz w:val="24"/>
          <w:szCs w:val="24"/>
        </w:rPr>
      </w:pPr>
      <w:r w:rsidRPr="00AE14DF">
        <w:rPr>
          <w:rFonts w:ascii="Times New Roman" w:hAnsi="Times New Roman" w:cs="Times New Roman"/>
          <w:b/>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D906A7" w:rsidRPr="00AE14DF" w14:paraId="7AC6292C" w14:textId="77777777" w:rsidTr="00440541">
        <w:trPr>
          <w:trHeight w:val="20"/>
        </w:trPr>
        <w:tc>
          <w:tcPr>
            <w:tcW w:w="3545" w:type="dxa"/>
            <w:vAlign w:val="center"/>
          </w:tcPr>
          <w:p w14:paraId="01DD8960"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Виды разрешенного использования земельных участков</w:t>
            </w:r>
          </w:p>
        </w:tc>
        <w:tc>
          <w:tcPr>
            <w:tcW w:w="5670" w:type="dxa"/>
            <w:vAlign w:val="center"/>
          </w:tcPr>
          <w:p w14:paraId="2AEBD0A3"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Описание вида разрешенного использования земельного участка</w:t>
            </w:r>
          </w:p>
        </w:tc>
        <w:tc>
          <w:tcPr>
            <w:tcW w:w="6378" w:type="dxa"/>
            <w:vAlign w:val="center"/>
          </w:tcPr>
          <w:p w14:paraId="33AFCFDD"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906A7" w:rsidRPr="00AE14DF" w14:paraId="3A85C38D" w14:textId="77777777" w:rsidTr="00440541">
        <w:trPr>
          <w:trHeight w:val="20"/>
        </w:trPr>
        <w:tc>
          <w:tcPr>
            <w:tcW w:w="3545" w:type="dxa"/>
            <w:vAlign w:val="center"/>
          </w:tcPr>
          <w:p w14:paraId="1F267FA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[2.3] - Блокированная жилая застройка</w:t>
            </w:r>
          </w:p>
        </w:tc>
        <w:tc>
          <w:tcPr>
            <w:tcW w:w="5670" w:type="dxa"/>
            <w:vAlign w:val="center"/>
          </w:tcPr>
          <w:p w14:paraId="22FC47D8"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AE14DF">
              <w:rPr>
                <w:rFonts w:ascii="Times New Roman" w:hAnsi="Times New Roman" w:cs="Times New Roman"/>
                <w:sz w:val="24"/>
                <w:szCs w:val="24"/>
              </w:rPr>
              <w:t xml:space="preserve"> пользования (жилые дома блокированной застройки);</w:t>
            </w:r>
          </w:p>
          <w:p w14:paraId="435CEDF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разведение декоративных и плодовых деревьев, овощных и ягодных культур; размещение </w:t>
            </w:r>
            <w:r w:rsidRPr="00AE14DF">
              <w:rPr>
                <w:rFonts w:ascii="Times New Roman" w:hAnsi="Times New Roman" w:cs="Times New Roman"/>
                <w:sz w:val="24"/>
                <w:szCs w:val="24"/>
              </w:rPr>
              <w:lastRenderedPageBreak/>
              <w:t>индивидуальных гаражей и иных вспомогательных сооружений; обустройство спортивных и детских площадок, площадок для отдыха</w:t>
            </w:r>
          </w:p>
          <w:p w14:paraId="5F21843A" w14:textId="77777777" w:rsidR="00D906A7" w:rsidRPr="00AE14DF" w:rsidRDefault="00D906A7" w:rsidP="00D906A7">
            <w:pPr>
              <w:rPr>
                <w:rFonts w:ascii="Times New Roman" w:hAnsi="Times New Roman" w:cs="Times New Roman"/>
                <w:sz w:val="24"/>
                <w:szCs w:val="24"/>
              </w:rPr>
            </w:pPr>
          </w:p>
        </w:tc>
        <w:tc>
          <w:tcPr>
            <w:tcW w:w="6378" w:type="dxa"/>
            <w:vAlign w:val="center"/>
          </w:tcPr>
          <w:p w14:paraId="23DA961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минимальная/максимальная площадь земельных участков – 400/8000 кв. м;</w:t>
            </w:r>
          </w:p>
          <w:p w14:paraId="13BBBA5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200/800 кв. м из расчета на 1 блок;</w:t>
            </w:r>
          </w:p>
          <w:p w14:paraId="23E9070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6 м;</w:t>
            </w:r>
          </w:p>
          <w:p w14:paraId="3DBF8CC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- 0 м;</w:t>
            </w:r>
          </w:p>
          <w:p w14:paraId="78899EF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3 этажа (включая мансардный этаж);</w:t>
            </w:r>
          </w:p>
          <w:p w14:paraId="52A350C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максимальный процент застройки в границах земельного </w:t>
            </w:r>
            <w:r w:rsidRPr="00AE14DF">
              <w:rPr>
                <w:rFonts w:ascii="Times New Roman" w:hAnsi="Times New Roman" w:cs="Times New Roman"/>
                <w:sz w:val="24"/>
                <w:szCs w:val="24"/>
              </w:rPr>
              <w:lastRenderedPageBreak/>
              <w:t>участка – 40%;</w:t>
            </w:r>
          </w:p>
          <w:p w14:paraId="5E5FACC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Коэффициент использования территории - 0,8;</w:t>
            </w:r>
          </w:p>
          <w:p w14:paraId="177516A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p w14:paraId="01F1F66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D906A7" w:rsidRPr="00AE14DF" w14:paraId="3235A8D1" w14:textId="77777777" w:rsidTr="00440541">
        <w:trPr>
          <w:trHeight w:val="20"/>
        </w:trPr>
        <w:tc>
          <w:tcPr>
            <w:tcW w:w="3545" w:type="dxa"/>
            <w:vAlign w:val="center"/>
          </w:tcPr>
          <w:p w14:paraId="38ABC9A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[2.1.1] - Малоэтажная многоквартирная жилая застройка</w:t>
            </w:r>
          </w:p>
        </w:tc>
        <w:tc>
          <w:tcPr>
            <w:tcW w:w="5670" w:type="dxa"/>
            <w:vAlign w:val="center"/>
          </w:tcPr>
          <w:p w14:paraId="3164A6F9"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Размещение малоэтажных многоквартирных домов (многоквартирные дома высотой до 4 этажей, включая мансардный);</w:t>
            </w:r>
            <w:r w:rsidRPr="00AE14DF">
              <w:rPr>
                <w:rFonts w:ascii="Times New Roman" w:hAnsi="Times New Roman" w:cs="Times New Roman"/>
                <w:sz w:val="24"/>
                <w:szCs w:val="24"/>
              </w:rPr>
              <w:br/>
              <w:t>обустройство спортивных и детских площадок, площадок для отдыха;</w:t>
            </w:r>
            <w:r w:rsidRPr="00AE14DF">
              <w:rPr>
                <w:rFonts w:ascii="Times New Roman" w:hAnsi="Times New Roman" w:cs="Times New Roman"/>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14:paraId="7D666FF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1000/</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5DE2BBA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12 м;</w:t>
            </w:r>
          </w:p>
          <w:p w14:paraId="5E4532C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1FB90E7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3 этажа (включая мансардный этаж);</w:t>
            </w:r>
          </w:p>
          <w:p w14:paraId="196C20A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40%;</w:t>
            </w:r>
          </w:p>
          <w:p w14:paraId="642E70F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Коэффициент использования территории - 0,8;</w:t>
            </w:r>
          </w:p>
          <w:p w14:paraId="64B00DE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p w14:paraId="5111C81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D906A7" w:rsidRPr="00AE14DF" w14:paraId="17627A92" w14:textId="77777777" w:rsidTr="00440541">
        <w:trPr>
          <w:trHeight w:val="20"/>
        </w:trPr>
        <w:tc>
          <w:tcPr>
            <w:tcW w:w="3545" w:type="dxa"/>
            <w:vAlign w:val="center"/>
          </w:tcPr>
          <w:p w14:paraId="4F9A35F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[3.5.1] - Дошкольное, начальное и среднее общее образование</w:t>
            </w:r>
          </w:p>
        </w:tc>
        <w:tc>
          <w:tcPr>
            <w:tcW w:w="5670" w:type="dxa"/>
            <w:vAlign w:val="center"/>
          </w:tcPr>
          <w:p w14:paraId="6A14141F"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AE14DF">
              <w:rPr>
                <w:rFonts w:ascii="Times New Roman" w:hAnsi="Times New Roman" w:cs="Times New Roman"/>
                <w:sz w:val="24"/>
                <w:szCs w:val="24"/>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14:paraId="1F54E49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bCs/>
                <w:sz w:val="24"/>
                <w:szCs w:val="24"/>
              </w:rPr>
              <w:t>;</w:t>
            </w:r>
          </w:p>
          <w:p w14:paraId="16D2745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25 м;</w:t>
            </w:r>
          </w:p>
          <w:p w14:paraId="22C4D36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73EF65B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максимальное количество надземных этажей зданий – 4 этажа;</w:t>
            </w:r>
          </w:p>
          <w:p w14:paraId="421F1AD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40%;</w:t>
            </w:r>
          </w:p>
          <w:p w14:paraId="3E567F6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2099E71" w14:textId="77777777" w:rsidTr="00440541">
        <w:trPr>
          <w:trHeight w:val="20"/>
        </w:trPr>
        <w:tc>
          <w:tcPr>
            <w:tcW w:w="3545" w:type="dxa"/>
            <w:vAlign w:val="center"/>
          </w:tcPr>
          <w:p w14:paraId="3804F8F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[3.5.2] - Среднее и высшее профессиональное образование</w:t>
            </w:r>
          </w:p>
        </w:tc>
        <w:tc>
          <w:tcPr>
            <w:tcW w:w="5670" w:type="dxa"/>
            <w:vAlign w:val="center"/>
          </w:tcPr>
          <w:p w14:paraId="31CF47D0"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14:paraId="7802BF9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sz w:val="24"/>
                <w:szCs w:val="24"/>
              </w:rPr>
              <w:t>;</w:t>
            </w:r>
          </w:p>
          <w:p w14:paraId="1C7DEE1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20 м;</w:t>
            </w:r>
          </w:p>
          <w:p w14:paraId="2622916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173057F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 (включая мансардный этаж);</w:t>
            </w:r>
          </w:p>
          <w:p w14:paraId="34AA44E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80%;</w:t>
            </w:r>
          </w:p>
          <w:p w14:paraId="03229DB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2A409525" w14:textId="77777777" w:rsidTr="00440541">
        <w:trPr>
          <w:trHeight w:val="20"/>
        </w:trPr>
        <w:tc>
          <w:tcPr>
            <w:tcW w:w="3545" w:type="dxa"/>
            <w:vAlign w:val="center"/>
          </w:tcPr>
          <w:p w14:paraId="261045E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[3.4.1] – Амбулаторно-поликлиническое обслуживание</w:t>
            </w:r>
          </w:p>
        </w:tc>
        <w:tc>
          <w:tcPr>
            <w:tcW w:w="5670" w:type="dxa"/>
            <w:vAlign w:val="center"/>
          </w:tcPr>
          <w:p w14:paraId="595641C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5D27269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bCs/>
                <w:sz w:val="24"/>
                <w:szCs w:val="24"/>
              </w:rPr>
              <w:t>;</w:t>
            </w:r>
            <w:r w:rsidRPr="00AE14DF">
              <w:rPr>
                <w:rFonts w:ascii="Times New Roman" w:hAnsi="Times New Roman" w:cs="Times New Roman"/>
                <w:sz w:val="24"/>
                <w:szCs w:val="24"/>
              </w:rPr>
              <w:t xml:space="preserve"> </w:t>
            </w:r>
          </w:p>
          <w:p w14:paraId="420170B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4C4EC75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054350A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4 этажа;</w:t>
            </w:r>
          </w:p>
          <w:p w14:paraId="0279883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0B6B30E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79BDBF65" w14:textId="77777777" w:rsidTr="00440541">
        <w:trPr>
          <w:trHeight w:val="20"/>
        </w:trPr>
        <w:tc>
          <w:tcPr>
            <w:tcW w:w="3545" w:type="dxa"/>
            <w:vAlign w:val="center"/>
          </w:tcPr>
          <w:p w14:paraId="0AA67AE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[3.4.2] – Стационарное медицинское обслуживание</w:t>
            </w:r>
          </w:p>
        </w:tc>
        <w:tc>
          <w:tcPr>
            <w:tcW w:w="5670" w:type="dxa"/>
            <w:vAlign w:val="center"/>
          </w:tcPr>
          <w:p w14:paraId="2FC5018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AE14DF">
              <w:rPr>
                <w:rFonts w:ascii="Times New Roman" w:hAnsi="Times New Roman" w:cs="Times New Roman"/>
                <w:sz w:val="24"/>
                <w:szCs w:val="24"/>
              </w:rPr>
              <w:br/>
            </w:r>
            <w:r w:rsidRPr="00AE14DF">
              <w:rPr>
                <w:rFonts w:ascii="Times New Roman" w:hAnsi="Times New Roman" w:cs="Times New Roman"/>
                <w:sz w:val="24"/>
                <w:szCs w:val="24"/>
              </w:rPr>
              <w:lastRenderedPageBreak/>
              <w:t>размещение площадок санитарной авиации</w:t>
            </w:r>
          </w:p>
        </w:tc>
        <w:tc>
          <w:tcPr>
            <w:tcW w:w="6378" w:type="dxa"/>
            <w:vMerge/>
            <w:vAlign w:val="center"/>
          </w:tcPr>
          <w:p w14:paraId="33D7D2C6" w14:textId="77777777" w:rsidR="00D906A7" w:rsidRPr="00AE14DF" w:rsidRDefault="00D906A7" w:rsidP="00D906A7">
            <w:pPr>
              <w:rPr>
                <w:rFonts w:ascii="Times New Roman" w:hAnsi="Times New Roman" w:cs="Times New Roman"/>
                <w:sz w:val="24"/>
                <w:szCs w:val="24"/>
              </w:rPr>
            </w:pPr>
          </w:p>
        </w:tc>
      </w:tr>
      <w:tr w:rsidR="00D906A7" w:rsidRPr="00AE14DF" w14:paraId="0424FF59" w14:textId="77777777" w:rsidTr="00440541">
        <w:trPr>
          <w:trHeight w:val="20"/>
        </w:trPr>
        <w:tc>
          <w:tcPr>
            <w:tcW w:w="3545" w:type="dxa"/>
            <w:vAlign w:val="center"/>
          </w:tcPr>
          <w:p w14:paraId="7F64767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[3.7.1] - Осуществление религиозных обрядов</w:t>
            </w:r>
          </w:p>
        </w:tc>
        <w:tc>
          <w:tcPr>
            <w:tcW w:w="5670" w:type="dxa"/>
            <w:vAlign w:val="center"/>
          </w:tcPr>
          <w:p w14:paraId="4C22BE7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6BF22E2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bCs/>
                <w:sz w:val="24"/>
                <w:szCs w:val="24"/>
              </w:rPr>
              <w:t>;</w:t>
            </w:r>
            <w:r w:rsidRPr="00AE14DF">
              <w:rPr>
                <w:rFonts w:ascii="Times New Roman" w:hAnsi="Times New Roman" w:cs="Times New Roman"/>
                <w:sz w:val="24"/>
                <w:szCs w:val="24"/>
              </w:rPr>
              <w:t xml:space="preserve"> </w:t>
            </w:r>
          </w:p>
          <w:p w14:paraId="44E1743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1834717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2EF1DC5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AE14DF">
                <w:rPr>
                  <w:rFonts w:ascii="Times New Roman" w:hAnsi="Times New Roman" w:cs="Times New Roman"/>
                  <w:sz w:val="24"/>
                  <w:szCs w:val="24"/>
                </w:rPr>
                <w:t>30 м</w:t>
              </w:r>
            </w:smartTag>
            <w:r w:rsidRPr="00AE14DF">
              <w:rPr>
                <w:rFonts w:ascii="Times New Roman" w:hAnsi="Times New Roman" w:cs="Times New Roman"/>
                <w:sz w:val="24"/>
                <w:szCs w:val="24"/>
              </w:rPr>
              <w:t>;</w:t>
            </w:r>
          </w:p>
          <w:p w14:paraId="0F9FB87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7D74C7E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0B344B34" w14:textId="77777777" w:rsidTr="00440541">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1A64AF8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23ADCE3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5DCCF27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20/5000 кв. м;</w:t>
            </w:r>
          </w:p>
          <w:p w14:paraId="1A7E9AF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5 м;</w:t>
            </w:r>
          </w:p>
          <w:p w14:paraId="060AF5F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6D8B5D4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зданий, строений, сооружений от уровня земли - 12 м;</w:t>
            </w:r>
          </w:p>
          <w:p w14:paraId="16861E0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80%;</w:t>
            </w:r>
          </w:p>
          <w:p w14:paraId="323A8CB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46E0D7A5" w14:textId="77777777" w:rsidTr="00440541">
        <w:trPr>
          <w:trHeight w:val="20"/>
        </w:trPr>
        <w:tc>
          <w:tcPr>
            <w:tcW w:w="3545" w:type="dxa"/>
            <w:vAlign w:val="center"/>
          </w:tcPr>
          <w:p w14:paraId="7035C8C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[3.1.1] - Предоставление коммунальных услуг</w:t>
            </w:r>
          </w:p>
          <w:p w14:paraId="5A637D29" w14:textId="77777777" w:rsidR="00D906A7" w:rsidRPr="00AE14DF" w:rsidRDefault="00D906A7" w:rsidP="00D906A7">
            <w:pPr>
              <w:rPr>
                <w:rFonts w:ascii="Times New Roman" w:hAnsi="Times New Roman" w:cs="Times New Roman"/>
                <w:sz w:val="24"/>
                <w:szCs w:val="24"/>
              </w:rPr>
            </w:pPr>
          </w:p>
        </w:tc>
        <w:tc>
          <w:tcPr>
            <w:tcW w:w="5670" w:type="dxa"/>
            <w:vAlign w:val="center"/>
          </w:tcPr>
          <w:p w14:paraId="35C58136"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w:t>
            </w:r>
            <w:r w:rsidRPr="00AE14DF">
              <w:rPr>
                <w:rFonts w:ascii="Times New Roman" w:hAnsi="Times New Roman" w:cs="Times New Roman"/>
                <w:sz w:val="24"/>
                <w:szCs w:val="24"/>
              </w:rPr>
              <w:lastRenderedPageBreak/>
              <w:t>линий связи, телефонных станций, канализаций)</w:t>
            </w:r>
            <w:proofErr w:type="gramEnd"/>
          </w:p>
        </w:tc>
        <w:tc>
          <w:tcPr>
            <w:tcW w:w="6378" w:type="dxa"/>
            <w:vAlign w:val="center"/>
          </w:tcPr>
          <w:p w14:paraId="74FABCF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минимальная/максимальная площадь земельных участков - 10 кв. м/</w:t>
            </w:r>
            <w:r w:rsidRPr="00AE14DF">
              <w:rPr>
                <w:rFonts w:ascii="Times New Roman" w:hAnsi="Times New Roman" w:cs="Times New Roman"/>
                <w:b/>
                <w:bCs/>
                <w:sz w:val="24"/>
                <w:szCs w:val="24"/>
              </w:rPr>
              <w:t>не подлежит установлению</w:t>
            </w:r>
            <w:r w:rsidRPr="00AE14DF">
              <w:rPr>
                <w:rFonts w:ascii="Times New Roman" w:hAnsi="Times New Roman" w:cs="Times New Roman"/>
                <w:bCs/>
                <w:sz w:val="24"/>
                <w:szCs w:val="24"/>
              </w:rPr>
              <w:t>;</w:t>
            </w:r>
            <w:r w:rsidRPr="00AE14DF">
              <w:rPr>
                <w:rFonts w:ascii="Times New Roman" w:hAnsi="Times New Roman" w:cs="Times New Roman"/>
                <w:sz w:val="24"/>
                <w:szCs w:val="24"/>
              </w:rPr>
              <w:t xml:space="preserve"> </w:t>
            </w:r>
          </w:p>
          <w:p w14:paraId="52316E4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4 м;</w:t>
            </w:r>
          </w:p>
          <w:p w14:paraId="4D61A74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365B8C8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 xml:space="preserve">максимальное количество надземных этажей зданий – 3 этажа (включая мансардный этаж); </w:t>
            </w:r>
          </w:p>
          <w:p w14:paraId="712A542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строений, сооружений от уровня земли - 20 м;</w:t>
            </w:r>
          </w:p>
          <w:p w14:paraId="7FEA6E5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80%;</w:t>
            </w:r>
          </w:p>
          <w:p w14:paraId="5F97353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621B4509" w14:textId="77777777" w:rsidTr="00440541">
        <w:trPr>
          <w:trHeight w:val="20"/>
        </w:trPr>
        <w:tc>
          <w:tcPr>
            <w:tcW w:w="3545" w:type="dxa"/>
            <w:vAlign w:val="center"/>
          </w:tcPr>
          <w:p w14:paraId="3ABDA0E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[4.8.2] – Проведение азартных игр</w:t>
            </w:r>
          </w:p>
        </w:tc>
        <w:tc>
          <w:tcPr>
            <w:tcW w:w="5670" w:type="dxa"/>
            <w:vAlign w:val="center"/>
          </w:tcPr>
          <w:p w14:paraId="17D3384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1D21EA2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100 кв. м/1000 кв. м;</w:t>
            </w:r>
          </w:p>
          <w:p w14:paraId="391FEFF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15 м;</w:t>
            </w:r>
          </w:p>
          <w:p w14:paraId="1946D4B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4D5B4A7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строений, сооружений от уровня земли - 15 м;</w:t>
            </w:r>
          </w:p>
          <w:p w14:paraId="4244BD3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40%;Процент застройки подземной части не регламентируется.</w:t>
            </w:r>
          </w:p>
        </w:tc>
      </w:tr>
      <w:tr w:rsidR="00D906A7" w:rsidRPr="00AE14DF" w14:paraId="58EB8134" w14:textId="77777777" w:rsidTr="00440541">
        <w:trPr>
          <w:trHeight w:val="20"/>
        </w:trPr>
        <w:tc>
          <w:tcPr>
            <w:tcW w:w="3545" w:type="dxa"/>
            <w:vAlign w:val="center"/>
          </w:tcPr>
          <w:p w14:paraId="4B345F9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[4.9.1.2] - Обеспечение дорожного отдыха</w:t>
            </w:r>
          </w:p>
        </w:tc>
        <w:tc>
          <w:tcPr>
            <w:tcW w:w="5670" w:type="dxa"/>
            <w:vAlign w:val="center"/>
          </w:tcPr>
          <w:p w14:paraId="3344A86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6BFC80B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60/5000 кв. м;</w:t>
            </w:r>
          </w:p>
          <w:p w14:paraId="50E36A9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12 м;</w:t>
            </w:r>
          </w:p>
          <w:p w14:paraId="3F7BEE0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10685D7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максимальная высота зданий, строений, сооружений от уровня земли - 12 м;</w:t>
            </w:r>
          </w:p>
          <w:p w14:paraId="0ED6518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60%;</w:t>
            </w:r>
          </w:p>
          <w:p w14:paraId="4F039EA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tc>
      </w:tr>
      <w:tr w:rsidR="00D906A7" w:rsidRPr="00AE14DF" w14:paraId="260A9DB4" w14:textId="77777777" w:rsidTr="00440541">
        <w:trPr>
          <w:trHeight w:val="20"/>
        </w:trPr>
        <w:tc>
          <w:tcPr>
            <w:tcW w:w="3545" w:type="dxa"/>
            <w:vAlign w:val="center"/>
          </w:tcPr>
          <w:p w14:paraId="5DC89BBA" w14:textId="77777777" w:rsidR="00D906A7" w:rsidRPr="00AE14DF" w:rsidRDefault="00D906A7" w:rsidP="00D906A7">
            <w:pPr>
              <w:rPr>
                <w:rFonts w:ascii="Times New Roman" w:hAnsi="Times New Roman" w:cs="Times New Roman"/>
                <w:sz w:val="24"/>
                <w:szCs w:val="24"/>
                <w:highlight w:val="yellow"/>
              </w:rPr>
            </w:pPr>
            <w:r w:rsidRPr="00AE14DF">
              <w:rPr>
                <w:rFonts w:ascii="Times New Roman" w:hAnsi="Times New Roman" w:cs="Times New Roman"/>
                <w:sz w:val="24"/>
                <w:szCs w:val="24"/>
                <w:highlight w:val="yellow"/>
              </w:rPr>
              <w:lastRenderedPageBreak/>
              <w:t>[2.1] - Для индивидуального жилищного строительства</w:t>
            </w:r>
          </w:p>
        </w:tc>
        <w:tc>
          <w:tcPr>
            <w:tcW w:w="5670" w:type="dxa"/>
            <w:vAlign w:val="center"/>
          </w:tcPr>
          <w:p w14:paraId="740B27B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AFFFFC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выращивание сельскохозяйственных культур;</w:t>
            </w:r>
          </w:p>
          <w:p w14:paraId="7A03929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индивидуальных гаражей и хозяйственных построек</w:t>
            </w:r>
          </w:p>
        </w:tc>
        <w:tc>
          <w:tcPr>
            <w:tcW w:w="6378" w:type="dxa"/>
          </w:tcPr>
          <w:p w14:paraId="761C627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минимальная/максимальная площадь земельных участков   – 400/2000 кв. м;</w:t>
            </w:r>
          </w:p>
          <w:p w14:paraId="39FAF39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минимальная ширина земельных участков вдоль фронта улицы (проезда) – 12 м;*</w:t>
            </w:r>
          </w:p>
          <w:p w14:paraId="6B6062F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- 3 м;*</w:t>
            </w:r>
          </w:p>
          <w:p w14:paraId="6BC0850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максимальное количество надземных этажей зданий – 3 этажа (включая мансардный этаж);</w:t>
            </w:r>
          </w:p>
          <w:p w14:paraId="53BC307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максимальный процент застройки в границах земельного участка – 30%;</w:t>
            </w:r>
          </w:p>
          <w:p w14:paraId="759D083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Коэффициент использования территории - 0,4;</w:t>
            </w:r>
          </w:p>
          <w:p w14:paraId="245234C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Процент застройки подземной части не регламентируется.</w:t>
            </w:r>
          </w:p>
          <w:p w14:paraId="00BE77E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bl>
    <w:p w14:paraId="0050D27F" w14:textId="77777777" w:rsidR="00D906A7" w:rsidRPr="00AE14DF" w:rsidRDefault="00D906A7" w:rsidP="00D906A7">
      <w:pPr>
        <w:rPr>
          <w:rFonts w:ascii="Times New Roman" w:hAnsi="Times New Roman" w:cs="Times New Roman"/>
          <w:b/>
          <w:sz w:val="24"/>
          <w:szCs w:val="24"/>
        </w:rPr>
      </w:pPr>
    </w:p>
    <w:p w14:paraId="37A7F16C" w14:textId="77777777" w:rsidR="00D906A7" w:rsidRPr="00AE14DF" w:rsidRDefault="00D906A7" w:rsidP="00D906A7">
      <w:pPr>
        <w:rPr>
          <w:rFonts w:ascii="Times New Roman" w:hAnsi="Times New Roman" w:cs="Times New Roman"/>
          <w:b/>
          <w:sz w:val="24"/>
          <w:szCs w:val="24"/>
        </w:rPr>
      </w:pPr>
    </w:p>
    <w:p w14:paraId="40E57C90" w14:textId="77777777" w:rsidR="00D906A7" w:rsidRPr="00AE14DF" w:rsidRDefault="00D906A7" w:rsidP="00D906A7">
      <w:pPr>
        <w:rPr>
          <w:rFonts w:ascii="Times New Roman" w:hAnsi="Times New Roman" w:cs="Times New Roman"/>
          <w:b/>
          <w:sz w:val="24"/>
          <w:szCs w:val="24"/>
        </w:rPr>
      </w:pPr>
      <w:proofErr w:type="gramStart"/>
      <w:r w:rsidRPr="00AE14DF">
        <w:rPr>
          <w:rFonts w:ascii="Times New Roman" w:hAnsi="Times New Roman" w:cs="Times New Roman"/>
          <w:b/>
          <w:sz w:val="24"/>
          <w:szCs w:val="24"/>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w:t>
      </w:r>
      <w:bookmarkStart w:id="0" w:name="_GoBack"/>
      <w:bookmarkEnd w:id="0"/>
      <w:r w:rsidRPr="00AE14DF">
        <w:rPr>
          <w:rFonts w:ascii="Times New Roman" w:hAnsi="Times New Roman" w:cs="Times New Roman"/>
          <w:b/>
          <w:sz w:val="24"/>
          <w:szCs w:val="24"/>
        </w:rPr>
        <w:t>ществляемые совместно с ними 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D906A7" w:rsidRPr="00AE14DF" w14:paraId="683C8AFD" w14:textId="77777777" w:rsidTr="00440541">
        <w:trPr>
          <w:trHeight w:val="20"/>
        </w:trPr>
        <w:tc>
          <w:tcPr>
            <w:tcW w:w="7655" w:type="dxa"/>
            <w:vAlign w:val="center"/>
          </w:tcPr>
          <w:p w14:paraId="3EE872F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b/>
                <w:sz w:val="24"/>
                <w:szCs w:val="24"/>
              </w:rPr>
              <w:t>Виды разрешенного использования земельных участков и объектов капитального строительства</w:t>
            </w:r>
          </w:p>
        </w:tc>
        <w:tc>
          <w:tcPr>
            <w:tcW w:w="7938" w:type="dxa"/>
            <w:vAlign w:val="center"/>
          </w:tcPr>
          <w:p w14:paraId="768F084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b/>
                <w:sz w:val="24"/>
                <w:szCs w:val="24"/>
              </w:rPr>
              <w:t>Предельные параметры разрешенного строительства, реконструкции объектов капитального строительства</w:t>
            </w:r>
          </w:p>
        </w:tc>
      </w:tr>
      <w:tr w:rsidR="00D906A7" w:rsidRPr="00AE14DF" w14:paraId="5CD4CEA0" w14:textId="77777777" w:rsidTr="00440541">
        <w:trPr>
          <w:trHeight w:val="20"/>
        </w:trPr>
        <w:tc>
          <w:tcPr>
            <w:tcW w:w="7655" w:type="dxa"/>
            <w:vAlign w:val="center"/>
          </w:tcPr>
          <w:p w14:paraId="75AD02F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0957D5F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Возведение вспомогательных объектов осуществляется только при </w:t>
            </w:r>
            <w:r w:rsidRPr="00AE14DF">
              <w:rPr>
                <w:rFonts w:ascii="Times New Roman" w:hAnsi="Times New Roman" w:cs="Times New Roman"/>
                <w:sz w:val="24"/>
                <w:szCs w:val="24"/>
              </w:rPr>
              <w:lastRenderedPageBreak/>
              <w:t>наличии действующего разрешения на строительство основных и условно разрешенных объектов капитального строительства.</w:t>
            </w:r>
          </w:p>
          <w:p w14:paraId="09B901F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98DE76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объекты коммунального хозяйства (электро-, тепл</w:t>
            </w:r>
            <w:proofErr w:type="gramStart"/>
            <w:r w:rsidRPr="00AE14DF">
              <w:rPr>
                <w:rFonts w:ascii="Times New Roman" w:hAnsi="Times New Roman" w:cs="Times New Roman"/>
                <w:sz w:val="24"/>
                <w:szCs w:val="24"/>
              </w:rPr>
              <w:t>о-</w:t>
            </w:r>
            <w:proofErr w:type="gramEnd"/>
            <w:r w:rsidRPr="00AE14DF">
              <w:rPr>
                <w:rFonts w:ascii="Times New Roman" w:hAnsi="Times New Roman" w:cs="Times New Roman"/>
                <w:sz w:val="24"/>
                <w:szCs w:val="24"/>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3F43A5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проезды общего пользования;</w:t>
            </w:r>
          </w:p>
          <w:p w14:paraId="7B6F954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2BE343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благоустроенные, в том числе озелененные территории, детские площадки, площадки для отдыха, спортивных занятий;</w:t>
            </w:r>
          </w:p>
          <w:p w14:paraId="55E6B63D"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14:paraId="0EEA373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площадки хозяйственные, в том числе площадки для мусоросборников и выгула собак;</w:t>
            </w:r>
          </w:p>
          <w:p w14:paraId="4A5485B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общественные туалеты, надворные туалеты, гидронепроницаемые выгребы, септики;</w:t>
            </w:r>
          </w:p>
          <w:p w14:paraId="279B277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06467DA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 xml:space="preserve">минимальная площадь земельных участков - 1 кв. м. </w:t>
            </w:r>
          </w:p>
          <w:p w14:paraId="594EBBE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AE14DF">
              <w:rPr>
                <w:rFonts w:ascii="Times New Roman" w:hAnsi="Times New Roman" w:cs="Times New Roman"/>
                <w:sz w:val="24"/>
                <w:szCs w:val="24"/>
              </w:rPr>
              <w:t>и(</w:t>
            </w:r>
            <w:proofErr w:type="gramEnd"/>
            <w:r w:rsidRPr="00AE14DF">
              <w:rPr>
                <w:rFonts w:ascii="Times New Roman" w:hAnsi="Times New Roman" w:cs="Times New Roman"/>
                <w:sz w:val="24"/>
                <w:szCs w:val="24"/>
              </w:rPr>
              <w:t xml:space="preserve">или) условно разрешенных видов </w:t>
            </w:r>
            <w:r w:rsidRPr="00AE14DF">
              <w:rPr>
                <w:rFonts w:ascii="Times New Roman" w:hAnsi="Times New Roman" w:cs="Times New Roman"/>
                <w:sz w:val="24"/>
                <w:szCs w:val="24"/>
              </w:rPr>
              <w:lastRenderedPageBreak/>
              <w:t xml:space="preserve">использования, с обязательным условием применения понижающего коэффициента 0,5. </w:t>
            </w:r>
          </w:p>
          <w:p w14:paraId="3C8B0653" w14:textId="77777777" w:rsidR="00D906A7" w:rsidRPr="00AE14DF" w:rsidRDefault="00D906A7" w:rsidP="00D906A7">
            <w:pPr>
              <w:rPr>
                <w:rFonts w:ascii="Times New Roman" w:hAnsi="Times New Roman" w:cs="Times New Roman"/>
                <w:sz w:val="24"/>
                <w:szCs w:val="24"/>
              </w:rPr>
            </w:pPr>
          </w:p>
          <w:p w14:paraId="3C7E789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минимальная ширина земельных участков вдоль фронта улицы (проезда) - </w:t>
            </w:r>
          </w:p>
          <w:p w14:paraId="5AE51BE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 м/</w:t>
            </w:r>
            <w:r w:rsidRPr="00AE14DF">
              <w:rPr>
                <w:rFonts w:ascii="Times New Roman" w:hAnsi="Times New Roman" w:cs="Times New Roman"/>
                <w:b/>
                <w:bCs/>
                <w:sz w:val="24"/>
                <w:szCs w:val="24"/>
              </w:rPr>
              <w:t xml:space="preserve"> не подлежит установлению</w:t>
            </w:r>
            <w:r w:rsidRPr="00AE14DF">
              <w:rPr>
                <w:rFonts w:ascii="Times New Roman" w:hAnsi="Times New Roman" w:cs="Times New Roman"/>
                <w:sz w:val="24"/>
                <w:szCs w:val="24"/>
              </w:rPr>
              <w:t xml:space="preserve"> (но не более максимальной ширины земельного участка, установленного для объектов с основными </w:t>
            </w:r>
            <w:proofErr w:type="gramStart"/>
            <w:r w:rsidRPr="00AE14DF">
              <w:rPr>
                <w:rFonts w:ascii="Times New Roman" w:hAnsi="Times New Roman" w:cs="Times New Roman"/>
                <w:sz w:val="24"/>
                <w:szCs w:val="24"/>
              </w:rPr>
              <w:t>и(</w:t>
            </w:r>
            <w:proofErr w:type="gramEnd"/>
            <w:r w:rsidRPr="00AE14DF">
              <w:rPr>
                <w:rFonts w:ascii="Times New Roman" w:hAnsi="Times New Roman" w:cs="Times New Roman"/>
                <w:sz w:val="24"/>
                <w:szCs w:val="24"/>
              </w:rPr>
              <w:t xml:space="preserve">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226C986E" w14:textId="77777777" w:rsidR="00D906A7" w:rsidRPr="00AE14DF" w:rsidRDefault="00D906A7" w:rsidP="00D906A7">
            <w:pPr>
              <w:rPr>
                <w:rFonts w:ascii="Times New Roman" w:hAnsi="Times New Roman" w:cs="Times New Roman"/>
                <w:sz w:val="24"/>
                <w:szCs w:val="24"/>
              </w:rPr>
            </w:pPr>
          </w:p>
          <w:p w14:paraId="3B20852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9A2320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минимальные отступы от границ земельных участков - 1 м;</w:t>
            </w:r>
          </w:p>
          <w:p w14:paraId="0E65AA6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D472149" w14:textId="77777777" w:rsidR="00D906A7" w:rsidRPr="00AE14DF" w:rsidRDefault="00D906A7" w:rsidP="00D906A7">
            <w:pPr>
              <w:rPr>
                <w:rFonts w:ascii="Times New Roman" w:hAnsi="Times New Roman" w:cs="Times New Roman"/>
                <w:sz w:val="24"/>
                <w:szCs w:val="24"/>
              </w:rPr>
            </w:pPr>
          </w:p>
        </w:tc>
      </w:tr>
    </w:tbl>
    <w:p w14:paraId="6B07B98C" w14:textId="77777777" w:rsidR="00D906A7" w:rsidRPr="00AE14DF" w:rsidRDefault="00D906A7" w:rsidP="00D906A7">
      <w:pPr>
        <w:rPr>
          <w:rFonts w:ascii="Times New Roman" w:hAnsi="Times New Roman" w:cs="Times New Roman"/>
          <w:sz w:val="24"/>
          <w:szCs w:val="24"/>
        </w:rPr>
      </w:pPr>
    </w:p>
    <w:p w14:paraId="22661F81" w14:textId="77777777" w:rsidR="00D906A7" w:rsidRPr="00AE14DF" w:rsidRDefault="00D906A7" w:rsidP="00D906A7">
      <w:pPr>
        <w:rPr>
          <w:rFonts w:ascii="Times New Roman" w:hAnsi="Times New Roman" w:cs="Times New Roman"/>
          <w:b/>
          <w:sz w:val="24"/>
          <w:szCs w:val="24"/>
        </w:rPr>
      </w:pPr>
      <w:r w:rsidRPr="00AE14DF">
        <w:rPr>
          <w:rFonts w:ascii="Times New Roman" w:hAnsi="Times New Roman" w:cs="Times New Roman"/>
          <w:b/>
          <w:sz w:val="24"/>
          <w:szCs w:val="24"/>
        </w:rPr>
        <w:t>Ограничения использования земельных участков и объектов капитального строительства:</w:t>
      </w:r>
    </w:p>
    <w:p w14:paraId="42D3643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Минимальный процент озеленения земельного участка для всех типов многоквартирной жилой застройки – 15%.</w:t>
      </w:r>
    </w:p>
    <w:p w14:paraId="42B86F57"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Минимальный процент озеленения земельного участка для зданий общественно-делового назначения и апартаментов – 10%.</w:t>
      </w:r>
    </w:p>
    <w:p w14:paraId="389442E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AD6AF9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091C203C" w14:textId="77777777" w:rsidR="00D906A7" w:rsidRPr="00AE14DF" w:rsidRDefault="00D906A7" w:rsidP="00D906A7">
      <w:pPr>
        <w:rPr>
          <w:rFonts w:ascii="Times New Roman" w:hAnsi="Times New Roman" w:cs="Times New Roman"/>
          <w:sz w:val="24"/>
          <w:szCs w:val="24"/>
        </w:rPr>
      </w:pPr>
    </w:p>
    <w:p w14:paraId="170D5D7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Расстояние до красной линии:</w:t>
      </w:r>
    </w:p>
    <w:p w14:paraId="76C8470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 от Дошкольных образовательных учреждений и общеобразовательных школ (стены здания) -10 м;</w:t>
      </w:r>
    </w:p>
    <w:p w14:paraId="7C59770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2) от Пожарных депо - 10 м (15 м - для депо </w:t>
      </w:r>
      <w:r w:rsidRPr="00AE14DF">
        <w:rPr>
          <w:rFonts w:ascii="Times New Roman" w:hAnsi="Times New Roman" w:cs="Times New Roman"/>
          <w:sz w:val="24"/>
          <w:szCs w:val="24"/>
          <w:lang w:val="en-US"/>
        </w:rPr>
        <w:t>I</w:t>
      </w:r>
      <w:r w:rsidRPr="00AE14DF">
        <w:rPr>
          <w:rFonts w:ascii="Times New Roman" w:hAnsi="Times New Roman" w:cs="Times New Roman"/>
          <w:sz w:val="24"/>
          <w:szCs w:val="24"/>
        </w:rPr>
        <w:t xml:space="preserve"> типа);</w:t>
      </w:r>
    </w:p>
    <w:p w14:paraId="0F37930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 улиц, от жилых и общественных зданий  – 5 м;</w:t>
      </w:r>
    </w:p>
    <w:p w14:paraId="620FF41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 проездов, от жилых и общественных зданий – 3 м;</w:t>
      </w:r>
    </w:p>
    <w:p w14:paraId="1913146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5) от остальных зданий и сооружений - 5 м.</w:t>
      </w:r>
    </w:p>
    <w:p w14:paraId="0C039B27" w14:textId="77777777" w:rsidR="00D906A7" w:rsidRPr="00AE14DF" w:rsidRDefault="00D906A7" w:rsidP="00D906A7">
      <w:pPr>
        <w:rPr>
          <w:rFonts w:ascii="Times New Roman" w:hAnsi="Times New Roman" w:cs="Times New Roman"/>
          <w:sz w:val="24"/>
          <w:szCs w:val="24"/>
        </w:rPr>
      </w:pPr>
    </w:p>
    <w:p w14:paraId="0163DCD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F1B19DC"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До границы соседнего </w:t>
      </w:r>
      <w:proofErr w:type="spellStart"/>
      <w:r w:rsidRPr="00AE14DF">
        <w:rPr>
          <w:rFonts w:ascii="Times New Roman" w:hAnsi="Times New Roman" w:cs="Times New Roman"/>
          <w:sz w:val="24"/>
          <w:szCs w:val="24"/>
        </w:rPr>
        <w:t>приквартирного</w:t>
      </w:r>
      <w:proofErr w:type="spellEnd"/>
      <w:r w:rsidRPr="00AE14DF">
        <w:rPr>
          <w:rFonts w:ascii="Times New Roman" w:hAnsi="Times New Roman" w:cs="Times New Roman"/>
          <w:sz w:val="24"/>
          <w:szCs w:val="24"/>
        </w:rPr>
        <w:t xml:space="preserve"> участка расстояния по санитарно-бытовым условиям должны быть не менее:</w:t>
      </w:r>
    </w:p>
    <w:p w14:paraId="7DBC0840"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1958A3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1,0 м - для одноэтажного жилого дома;</w:t>
      </w:r>
    </w:p>
    <w:p w14:paraId="50E5444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lastRenderedPageBreak/>
        <w:t>1,5 м - для двухэтажного жилого дома;</w:t>
      </w:r>
    </w:p>
    <w:p w14:paraId="0678B315"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14:paraId="5F7ADFF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от других построек (баня, гараж и другие) - 1 м;</w:t>
      </w:r>
    </w:p>
    <w:p w14:paraId="07EE7DB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от стволов высокорослых деревьев - 4 м;</w:t>
      </w:r>
    </w:p>
    <w:p w14:paraId="635A9D4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от стволов среднерослых деревьев - 2 м;</w:t>
      </w:r>
    </w:p>
    <w:p w14:paraId="265113B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от кустарника - 1 м.</w:t>
      </w:r>
    </w:p>
    <w:p w14:paraId="0F6E730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B3EBC31"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E14DF">
        <w:rPr>
          <w:rFonts w:ascii="Times New Roman" w:hAnsi="Times New Roman" w:cs="Times New Roman"/>
          <w:sz w:val="24"/>
          <w:szCs w:val="24"/>
        </w:rPr>
        <w:t>приквартирных</w:t>
      </w:r>
      <w:proofErr w:type="spellEnd"/>
      <w:r w:rsidRPr="00AE14DF">
        <w:rPr>
          <w:rFonts w:ascii="Times New Roman" w:hAnsi="Times New Roman" w:cs="Times New Roman"/>
          <w:sz w:val="24"/>
          <w:szCs w:val="24"/>
        </w:rPr>
        <w:t xml:space="preserve"> участков.</w:t>
      </w:r>
    </w:p>
    <w:p w14:paraId="50C65A93"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48D8AC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511B1D0" w14:textId="77777777" w:rsidR="00D906A7" w:rsidRPr="00AE14DF" w:rsidRDefault="00D906A7" w:rsidP="00D906A7">
      <w:pPr>
        <w:rPr>
          <w:rFonts w:ascii="Times New Roman" w:hAnsi="Times New Roman" w:cs="Times New Roman"/>
          <w:sz w:val="24"/>
          <w:szCs w:val="24"/>
        </w:rPr>
      </w:pPr>
    </w:p>
    <w:p w14:paraId="32DF30E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76424E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17E8659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98F44F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Вспомогательные строения, за исключением гаражей, размещать со стороны улиц не допускается.</w:t>
      </w:r>
    </w:p>
    <w:p w14:paraId="1855F7D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w:t>
      </w:r>
      <w:r w:rsidRPr="00AE14DF">
        <w:rPr>
          <w:rFonts w:ascii="Times New Roman" w:hAnsi="Times New Roman" w:cs="Times New Roman"/>
          <w:sz w:val="24"/>
          <w:szCs w:val="24"/>
        </w:rPr>
        <w:lastRenderedPageBreak/>
        <w:t>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35120F2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0DD3F44"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2D0C83B" w14:textId="77777777" w:rsidR="00D906A7" w:rsidRPr="00AE14DF" w:rsidRDefault="00D906A7" w:rsidP="00D906A7">
      <w:pPr>
        <w:rPr>
          <w:rFonts w:ascii="Times New Roman" w:hAnsi="Times New Roman" w:cs="Times New Roman"/>
          <w:sz w:val="24"/>
          <w:szCs w:val="24"/>
        </w:rPr>
      </w:pPr>
    </w:p>
    <w:p w14:paraId="6E9E3F9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Примечание общее.</w:t>
      </w:r>
    </w:p>
    <w:p w14:paraId="47F9B076"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50F37269"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679144A"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E0C352D"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560AE1B"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2) использование сточных вод в целях регулирования плодородия почв;</w:t>
      </w:r>
    </w:p>
    <w:p w14:paraId="69040278"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9DFAC6E"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4) осуществление авиационных мер по борьбе с вредными организмами.</w:t>
      </w:r>
    </w:p>
    <w:p w14:paraId="74E6D4F2"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68431B6"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 в границах территорий общего пользования;</w:t>
      </w:r>
    </w:p>
    <w:p w14:paraId="2873FF3E"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lastRenderedPageBreak/>
        <w:t>- предназначенные для размещения линейных объектов и (или) занятые линейными объектами.</w:t>
      </w:r>
      <w:proofErr w:type="gramEnd"/>
    </w:p>
    <w:p w14:paraId="0513A520" w14:textId="77777777" w:rsidR="00D906A7" w:rsidRPr="00AE14DF" w:rsidRDefault="00D906A7" w:rsidP="00D906A7">
      <w:pPr>
        <w:rPr>
          <w:rFonts w:ascii="Times New Roman" w:hAnsi="Times New Roman" w:cs="Times New Roman"/>
          <w:sz w:val="24"/>
          <w:szCs w:val="24"/>
        </w:rPr>
      </w:pPr>
      <w:proofErr w:type="gramStart"/>
      <w:r w:rsidRPr="00AE14DF">
        <w:rPr>
          <w:rFonts w:ascii="Times New Roman" w:hAnsi="Times New Roman" w:cs="Times New Roman"/>
          <w:sz w:val="24"/>
          <w:szCs w:val="24"/>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AE14DF">
        <w:rPr>
          <w:rFonts w:ascii="Times New Roman" w:hAnsi="Times New Roman" w:cs="Times New Roman"/>
          <w:sz w:val="24"/>
          <w:szCs w:val="24"/>
        </w:rPr>
        <w:t xml:space="preserve"> (код 7.0) осуществляется в соответствии с действующим законодательством.</w:t>
      </w:r>
    </w:p>
    <w:p w14:paraId="5DB2678F" w14:textId="77777777" w:rsidR="00D906A7" w:rsidRPr="00AE14DF" w:rsidRDefault="00D906A7" w:rsidP="00D906A7">
      <w:pPr>
        <w:rPr>
          <w:rFonts w:ascii="Times New Roman" w:hAnsi="Times New Roman" w:cs="Times New Roman"/>
          <w:sz w:val="24"/>
          <w:szCs w:val="24"/>
        </w:rPr>
      </w:pPr>
      <w:r w:rsidRPr="00AE14DF">
        <w:rPr>
          <w:rFonts w:ascii="Times New Roman" w:hAnsi="Times New Roman" w:cs="Times New Roman"/>
          <w:sz w:val="24"/>
          <w:szCs w:val="24"/>
        </w:rPr>
        <w:t>Размещение зданий, строений и сооружений возможно при соблюдении требований статьи 33 настоящих Правил.</w:t>
      </w:r>
    </w:p>
    <w:p w14:paraId="4F3A4C49" w14:textId="77777777" w:rsidR="003C09BF" w:rsidRPr="00AE14DF" w:rsidRDefault="003C09BF">
      <w:pPr>
        <w:rPr>
          <w:rFonts w:ascii="Times New Roman" w:hAnsi="Times New Roman" w:cs="Times New Roman"/>
          <w:sz w:val="24"/>
          <w:szCs w:val="24"/>
        </w:rPr>
      </w:pPr>
    </w:p>
    <w:sectPr w:rsidR="003C09BF" w:rsidRPr="00AE14DF" w:rsidSect="00D906A7">
      <w:pgSz w:w="16838" w:h="11906" w:orient="landscape"/>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游明朝">
    <w:altName w:val="MS Gothic"/>
    <w:panose1 w:val="00000000000000000000"/>
    <w:charset w:val="80"/>
    <w:family w:val="roman"/>
    <w:notTrueType/>
    <w:pitch w:val="default"/>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BB8"/>
    <w:rsid w:val="003C09BF"/>
    <w:rsid w:val="008D6BB8"/>
    <w:rsid w:val="00AE14DF"/>
    <w:rsid w:val="00D906A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14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4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14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4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5078</Words>
  <Characters>28948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Пользователь</cp:lastModifiedBy>
  <cp:revision>4</cp:revision>
  <cp:lastPrinted>2023-05-16T11:24:00Z</cp:lastPrinted>
  <dcterms:created xsi:type="dcterms:W3CDTF">2023-05-09T21:46:00Z</dcterms:created>
  <dcterms:modified xsi:type="dcterms:W3CDTF">2023-05-16T11:25:00Z</dcterms:modified>
</cp:coreProperties>
</file>