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A0" w:rsidRPr="00595CB6" w:rsidRDefault="00F428A0" w:rsidP="00F428A0">
      <w:pPr>
        <w:widowControl w:val="0"/>
        <w:tabs>
          <w:tab w:val="left" w:pos="1260"/>
        </w:tabs>
        <w:overflowPunct w:val="0"/>
        <w:autoSpaceDE w:val="0"/>
        <w:autoSpaceDN w:val="0"/>
        <w:adjustRightInd w:val="0"/>
        <w:ind w:firstLine="284"/>
        <w:jc w:val="center"/>
        <w:outlineLvl w:val="0"/>
        <w:rPr>
          <w:rFonts w:eastAsia="SimSun"/>
          <w:b/>
          <w:color w:val="000000"/>
          <w:sz w:val="24"/>
          <w:szCs w:val="24"/>
          <w:u w:val="single"/>
          <w:lang w:eastAsia="zh-CN"/>
        </w:rPr>
      </w:pPr>
      <w:r w:rsidRPr="00595CB6">
        <w:rPr>
          <w:rFonts w:eastAsia="SimSun"/>
          <w:b/>
          <w:color w:val="000000"/>
          <w:sz w:val="24"/>
          <w:szCs w:val="24"/>
          <w:u w:val="single"/>
          <w:lang w:eastAsia="zh-CN"/>
        </w:rPr>
        <w:t>ТОД-2. Зона объектов образования и научных комплексов.</w:t>
      </w:r>
    </w:p>
    <w:p w:rsidR="00F428A0" w:rsidRPr="00595CB6" w:rsidRDefault="00F428A0" w:rsidP="00F428A0">
      <w:pPr>
        <w:widowControl w:val="0"/>
        <w:tabs>
          <w:tab w:val="left" w:pos="1260"/>
        </w:tabs>
        <w:overflowPunct w:val="0"/>
        <w:autoSpaceDE w:val="0"/>
        <w:autoSpaceDN w:val="0"/>
        <w:adjustRightInd w:val="0"/>
        <w:ind w:firstLine="284"/>
        <w:jc w:val="both"/>
        <w:rPr>
          <w:i/>
          <w:iCs/>
          <w:color w:val="000000"/>
          <w:sz w:val="24"/>
          <w:szCs w:val="24"/>
        </w:rPr>
      </w:pPr>
      <w:r w:rsidRPr="00595CB6">
        <w:rPr>
          <w:i/>
          <w:iCs/>
          <w:color w:val="000000"/>
          <w:sz w:val="24"/>
          <w:szCs w:val="24"/>
        </w:rPr>
        <w:t>Зона ТОД-2 выделена для обеспечения правовых условий формирования объектов образования и научных комплексов, требующих значительные территориальные ресурсы для своего нормального функционирования.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  <w:r w:rsidRPr="00595CB6">
        <w:rPr>
          <w:b/>
          <w:color w:val="000000"/>
          <w:sz w:val="24"/>
          <w:szCs w:val="24"/>
        </w:rPr>
        <w:t>Основные виды разрешенного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5670"/>
        <w:gridCol w:w="6378"/>
      </w:tblGrid>
      <w:tr w:rsidR="00F428A0" w:rsidRPr="00595CB6" w:rsidTr="009C4A85">
        <w:trPr>
          <w:trHeight w:val="20"/>
        </w:trPr>
        <w:tc>
          <w:tcPr>
            <w:tcW w:w="3545" w:type="dxa"/>
            <w:vAlign w:val="center"/>
          </w:tcPr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vAlign w:val="center"/>
          </w:tcPr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  <w:tc>
          <w:tcPr>
            <w:tcW w:w="6378" w:type="dxa"/>
            <w:vAlign w:val="center"/>
          </w:tcPr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F428A0" w:rsidRPr="00595CB6" w:rsidTr="009C4A85">
        <w:trPr>
          <w:trHeight w:val="20"/>
        </w:trPr>
        <w:tc>
          <w:tcPr>
            <w:tcW w:w="3545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595CB6">
              <w:rPr>
                <w:color w:val="000000"/>
                <w:sz w:val="24"/>
                <w:szCs w:val="24"/>
                <w:lang w:eastAsia="zh-CN"/>
              </w:rPr>
              <w:t>3.9.2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] - Проведение научных исследований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6378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1000 кв. м /</w:t>
            </w:r>
            <w:r w:rsidRPr="00595CB6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; 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25 м;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F428A0" w:rsidRPr="00595CB6" w:rsidTr="009C4A85">
        <w:trPr>
          <w:trHeight w:val="20"/>
        </w:trPr>
        <w:tc>
          <w:tcPr>
            <w:tcW w:w="3545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595CB6">
              <w:rPr>
                <w:color w:val="000000"/>
                <w:sz w:val="24"/>
                <w:szCs w:val="24"/>
                <w:lang w:eastAsia="zh-CN"/>
              </w:rPr>
              <w:t>3.9.3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] - Проведение научных испытаний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6378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1000 кв. м /</w:t>
            </w:r>
            <w:r w:rsidRPr="00595CB6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; 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25 м;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lastRenderedPageBreak/>
              <w:t>Процент застройки подземной части не регламентируется.</w:t>
            </w:r>
          </w:p>
        </w:tc>
      </w:tr>
      <w:tr w:rsidR="00F428A0" w:rsidRPr="00595CB6" w:rsidTr="009C4A85">
        <w:trPr>
          <w:trHeight w:val="20"/>
        </w:trPr>
        <w:tc>
          <w:tcPr>
            <w:tcW w:w="3545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[3.5.1] - Дошкольное, начальное и среднее общее образование</w:t>
            </w:r>
          </w:p>
        </w:tc>
        <w:tc>
          <w:tcPr>
            <w:tcW w:w="5670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6378" w:type="dxa"/>
          </w:tcPr>
          <w:p w:rsidR="00F428A0" w:rsidRPr="00595CB6" w:rsidRDefault="00F428A0" w:rsidP="009C4A85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400 кв. м/</w:t>
            </w:r>
            <w:r w:rsidRPr="00595CB6"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  <w:t>не подлежит установлению</w:t>
            </w:r>
            <w:r w:rsidRPr="00595CB6">
              <w:rPr>
                <w:bCs/>
                <w:color w:val="000000"/>
                <w:sz w:val="24"/>
                <w:szCs w:val="24"/>
              </w:rPr>
              <w:t>;</w:t>
            </w:r>
          </w:p>
          <w:p w:rsidR="00F428A0" w:rsidRPr="00595CB6" w:rsidRDefault="00F428A0" w:rsidP="009C4A85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25 м;</w:t>
            </w:r>
          </w:p>
          <w:p w:rsidR="00F428A0" w:rsidRPr="00595CB6" w:rsidRDefault="00F428A0" w:rsidP="009C4A85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F428A0" w:rsidRPr="00595CB6" w:rsidRDefault="00F428A0" w:rsidP="009C4A85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этажа;</w:t>
            </w:r>
          </w:p>
          <w:p w:rsidR="00F428A0" w:rsidRPr="00595CB6" w:rsidRDefault="00F428A0" w:rsidP="009C4A85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минимальный процент озеленения земельного участка - 30%;</w:t>
            </w:r>
          </w:p>
        </w:tc>
      </w:tr>
      <w:tr w:rsidR="00F428A0" w:rsidRPr="00595CB6" w:rsidTr="009C4A85">
        <w:trPr>
          <w:trHeight w:val="20"/>
        </w:trPr>
        <w:tc>
          <w:tcPr>
            <w:tcW w:w="3545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[3.5.2] - Среднее и высшее профессиональное образование</w:t>
            </w:r>
          </w:p>
        </w:tc>
        <w:tc>
          <w:tcPr>
            <w:tcW w:w="5670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6378" w:type="dxa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400 кв. м/</w:t>
            </w:r>
            <w:r w:rsidRPr="00595CB6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20 м;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F428A0" w:rsidRPr="00595CB6" w:rsidTr="009C4A85">
        <w:trPr>
          <w:trHeight w:val="20"/>
        </w:trPr>
        <w:tc>
          <w:tcPr>
            <w:tcW w:w="3545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[12.0.1] - Улично-дорожная сеть</w:t>
            </w:r>
          </w:p>
        </w:tc>
        <w:tc>
          <w:tcPr>
            <w:tcW w:w="5670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и инженерной инфраструктуры;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cr/>
              <w:t xml:space="preserve">размещение придорожных 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стоянок (парковок) транспортных средств в границах городских улиц и дорог, за исключением предусмотренных видами разрешенного использования с кодами  2.7.1, 4.9, 7.2.3, а также некапитальных сооружений, предназначенных для охраны транспортных средств</w:t>
            </w:r>
            <w:proofErr w:type="gramEnd"/>
          </w:p>
        </w:tc>
        <w:tc>
          <w:tcPr>
            <w:tcW w:w="6378" w:type="dxa"/>
            <w:vMerge w:val="restart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lastRenderedPageBreak/>
              <w:t>Регламенты не подлежат установлению.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федеральными органами исполнительной власти, уполномоченными органами </w:t>
            </w:r>
            <w:r w:rsidRPr="00595CB6">
              <w:rPr>
                <w:color w:val="000000"/>
                <w:sz w:val="24"/>
                <w:szCs w:val="24"/>
              </w:rPr>
              <w:lastRenderedPageBreak/>
              <w:t>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      </w:r>
          </w:p>
        </w:tc>
      </w:tr>
      <w:tr w:rsidR="00F428A0" w:rsidRPr="00595CB6" w:rsidTr="009C4A85">
        <w:trPr>
          <w:trHeight w:val="20"/>
        </w:trPr>
        <w:tc>
          <w:tcPr>
            <w:tcW w:w="3545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[12.0.2] - Благоустройство территории</w:t>
            </w:r>
          </w:p>
        </w:tc>
        <w:tc>
          <w:tcPr>
            <w:tcW w:w="5670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378" w:type="dxa"/>
            <w:vMerge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i/>
          <w:iCs/>
          <w:color w:val="000000"/>
          <w:sz w:val="24"/>
          <w:szCs w:val="24"/>
        </w:rPr>
      </w:pPr>
      <w:r w:rsidRPr="00595CB6">
        <w:rPr>
          <w:b/>
          <w:color w:val="000000"/>
          <w:sz w:val="24"/>
          <w:szCs w:val="24"/>
        </w:rPr>
        <w:t>Условно разрешенные виды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5670"/>
        <w:gridCol w:w="6378"/>
      </w:tblGrid>
      <w:tr w:rsidR="00F428A0" w:rsidRPr="00595CB6" w:rsidTr="009C4A85">
        <w:trPr>
          <w:trHeight w:val="20"/>
        </w:trPr>
        <w:tc>
          <w:tcPr>
            <w:tcW w:w="3545" w:type="dxa"/>
            <w:vAlign w:val="center"/>
          </w:tcPr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vAlign w:val="center"/>
          </w:tcPr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  <w:tc>
          <w:tcPr>
            <w:tcW w:w="6378" w:type="dxa"/>
            <w:vAlign w:val="center"/>
          </w:tcPr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F428A0" w:rsidRPr="00595CB6" w:rsidTr="009C4A85">
        <w:trPr>
          <w:trHeight w:val="20"/>
        </w:trPr>
        <w:tc>
          <w:tcPr>
            <w:tcW w:w="3545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[3.1.1] - Предоставление коммунальных услуг</w:t>
            </w:r>
          </w:p>
        </w:tc>
        <w:tc>
          <w:tcPr>
            <w:tcW w:w="5670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канализаций)</w:t>
            </w:r>
            <w:proofErr w:type="gramEnd"/>
          </w:p>
        </w:tc>
        <w:tc>
          <w:tcPr>
            <w:tcW w:w="6378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- 10 кв. м/</w:t>
            </w:r>
            <w:r w:rsidRPr="00595CB6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595CB6">
              <w:rPr>
                <w:bCs/>
                <w:color w:val="000000"/>
                <w:sz w:val="24"/>
                <w:szCs w:val="24"/>
              </w:rPr>
              <w:t>;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4 м;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максимальное количество надземных этажей зданий – 3 этажа (включая мансардный этаж); 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- 20 м;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color w:val="000000"/>
                <w:sz w:val="24"/>
                <w:szCs w:val="24"/>
              </w:rPr>
              <w:lastRenderedPageBreak/>
              <w:t>Процент застройки подземной части не регламентируется.</w:t>
            </w:r>
          </w:p>
        </w:tc>
      </w:tr>
      <w:tr w:rsidR="00F428A0" w:rsidRPr="00595CB6" w:rsidTr="009C4A85">
        <w:trPr>
          <w:trHeight w:val="3840"/>
        </w:trPr>
        <w:tc>
          <w:tcPr>
            <w:tcW w:w="3545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spacing w:line="320" w:lineRule="exact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595CB6">
              <w:rPr>
                <w:color w:val="000000"/>
                <w:sz w:val="24"/>
                <w:szCs w:val="24"/>
                <w:lang w:eastAsia="zh-CN"/>
              </w:rPr>
              <w:t>3.9.1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] - Обеспечение деятельности в области гидрометеорологии и смежных с ней областях</w:t>
            </w:r>
          </w:p>
        </w:tc>
        <w:tc>
          <w:tcPr>
            <w:tcW w:w="5670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spacing w:line="320" w:lineRule="exact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капитального строительства, предназначены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здания и сооружения, используемые в области гидрометеорологии и смежных с ней областях (доплеровские метеорологические радиолокаторы, гидрологические посты и другие);</w:t>
            </w:r>
            <w:proofErr w:type="gramEnd"/>
          </w:p>
        </w:tc>
        <w:tc>
          <w:tcPr>
            <w:tcW w:w="6378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- 10 кв. м/</w:t>
            </w:r>
            <w:r w:rsidRPr="00595CB6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4 м;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максимальное количество надземных этажей зданий – 3 этажа (включая мансардный этаж); 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- 35 м;</w:t>
            </w:r>
          </w:p>
          <w:p w:rsidR="00F428A0" w:rsidRPr="00595CB6" w:rsidRDefault="00F428A0" w:rsidP="009C4A85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</w:t>
            </w:r>
          </w:p>
        </w:tc>
      </w:tr>
    </w:tbl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  <w:proofErr w:type="gramStart"/>
      <w:r w:rsidRPr="00595CB6">
        <w:rPr>
          <w:rFonts w:eastAsia="SimSun"/>
          <w:b/>
          <w:color w:val="000000"/>
          <w:sz w:val="24"/>
          <w:szCs w:val="24"/>
          <w:lang w:eastAsia="zh-CN"/>
        </w:rPr>
        <w:t xml:space="preserve">Вспомогательные виды разрешенного использования земельных участков и объектов капитального строительства,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</w:t>
      </w:r>
      <w:r w:rsidRPr="00595CB6">
        <w:rPr>
          <w:b/>
          <w:color w:val="000000"/>
          <w:sz w:val="24"/>
          <w:szCs w:val="24"/>
        </w:rPr>
        <w:t>и предельные параметры разрешенного строительства, реконструкции объектов капитального строительства</w:t>
      </w:r>
      <w:proofErr w:type="gramEnd"/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7938"/>
      </w:tblGrid>
      <w:tr w:rsidR="00F428A0" w:rsidRPr="00595CB6" w:rsidTr="009C4A85">
        <w:trPr>
          <w:trHeight w:val="20"/>
        </w:trPr>
        <w:tc>
          <w:tcPr>
            <w:tcW w:w="7655" w:type="dxa"/>
            <w:vAlign w:val="center"/>
          </w:tcPr>
          <w:p w:rsidR="00F428A0" w:rsidRPr="00595CB6" w:rsidRDefault="00F428A0" w:rsidP="009C4A85">
            <w:pPr>
              <w:widowControl w:val="0"/>
              <w:tabs>
                <w:tab w:val="left" w:pos="-1667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и</w:t>
            </w:r>
            <w:r w:rsidRPr="00595CB6">
              <w:rPr>
                <w:b/>
                <w:color w:val="000000"/>
                <w:sz w:val="24"/>
                <w:szCs w:val="24"/>
              </w:rPr>
              <w:t xml:space="preserve"> объектов капитального строительства</w:t>
            </w:r>
          </w:p>
        </w:tc>
        <w:tc>
          <w:tcPr>
            <w:tcW w:w="7938" w:type="dxa"/>
            <w:vAlign w:val="center"/>
          </w:tcPr>
          <w:p w:rsidR="00F428A0" w:rsidRPr="00595CB6" w:rsidRDefault="00F428A0" w:rsidP="009C4A85">
            <w:pPr>
              <w:widowControl w:val="0"/>
              <w:tabs>
                <w:tab w:val="left" w:pos="-6204"/>
              </w:tabs>
              <w:overflowPunct w:val="0"/>
              <w:autoSpaceDE w:val="0"/>
              <w:autoSpaceDN w:val="0"/>
              <w:adjustRightInd w:val="0"/>
              <w:ind w:firstLine="426"/>
              <w:jc w:val="center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b/>
                <w:color w:val="000000"/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F428A0" w:rsidRPr="00595CB6" w:rsidTr="009C4A85">
        <w:trPr>
          <w:trHeight w:val="20"/>
        </w:trPr>
        <w:tc>
          <w:tcPr>
            <w:tcW w:w="7655" w:type="dxa"/>
            <w:vAlign w:val="center"/>
          </w:tcPr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- аналогичны</w:t>
            </w:r>
            <w:r w:rsidRPr="00595CB6">
              <w:rPr>
                <w:color w:val="000000"/>
                <w:sz w:val="24"/>
                <w:szCs w:val="24"/>
              </w:rPr>
              <w:t xml:space="preserve"> видам разрешенного использования земельных участков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с основными и условно разрешенными видами использования;</w:t>
            </w:r>
          </w:p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      </w:r>
          </w:p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 коммунального хозяйства (электро-, тепл</w:t>
            </w: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о-</w:t>
            </w:r>
            <w:proofErr w:type="gramEnd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, газо-, водоснабжение, водоотведение, телефонизация и т.д.), необходимые 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для инженерного обеспечения объектов основных, условно разрешенных, а также иных вспомогательных видов использования; </w:t>
            </w:r>
          </w:p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- проезды общего пользования;</w:t>
            </w:r>
          </w:p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- 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      </w:r>
          </w:p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- благоустроенные, в том числе озелененные территории, детские площадки, площадки для отдыха, спортивных занятий;</w:t>
            </w:r>
          </w:p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постройки хозяйственного назначения (летние кухни, хозяйственные постройки, кладовые, подвалы, бани, бассейны, теплицы, оранжереи, навесы) индивидуального использования; </w:t>
            </w:r>
            <w:proofErr w:type="gramEnd"/>
          </w:p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- площадки хозяйственные, в том числе площадки для мусоросборников и выгула собак;</w:t>
            </w:r>
          </w:p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общественные туалеты, надворные туалеты, гидронепроницаемые выгребы, септики;</w:t>
            </w:r>
          </w:p>
          <w:p w:rsidR="00F428A0" w:rsidRPr="00595CB6" w:rsidRDefault="00F428A0" w:rsidP="009C4A85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объекты, обеспечивающие общественную безопасность и безопасность объектов основных и условно разрешенных видов использования, включая противопожарную.</w:t>
            </w:r>
          </w:p>
        </w:tc>
        <w:tc>
          <w:tcPr>
            <w:tcW w:w="7938" w:type="dxa"/>
            <w:vAlign w:val="center"/>
          </w:tcPr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минимальная/максимальная площадь земельных участков - 1 кв. м/</w:t>
            </w:r>
            <w:r w:rsidRPr="00595CB6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(но не более максимальной площади земельного участка, установленной для объектов с основными </w:t>
            </w: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или) условно разрешенными видами использования, к которым вспомогательные виды разрешенного использования являются дополнительными и осуществляются совместно с ними;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- 1 м/</w:t>
            </w:r>
            <w:r w:rsidRPr="00595CB6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(но не более максимального размера земельного участка, установленного для объектов с основными </w:t>
            </w:r>
            <w:proofErr w:type="gramStart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или) условно разрешенными видами использования, к которым вспомогательные виды разрешенного использования являются </w:t>
            </w: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дополнительными и осуществляются совместно с ними;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участка, максимальная высота строений, сооружений от уровня земли - аналогичны, параметрам разрешенного строительства, реконструкции объектов с основными и условно разрешенными видами использования,  с условием применения понижающего коэффициента 0,5 (если иное не оговорено отдельно)</w:t>
            </w:r>
            <w:r w:rsidRPr="00595CB6">
              <w:rPr>
                <w:bCs/>
                <w:color w:val="000000"/>
                <w:sz w:val="24"/>
                <w:szCs w:val="24"/>
              </w:rPr>
              <w:t>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595CB6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F428A0" w:rsidRPr="00595CB6" w:rsidRDefault="00F428A0" w:rsidP="009C4A85">
            <w:pPr>
              <w:widowControl w:val="0"/>
              <w:tabs>
                <w:tab w:val="left" w:pos="-6204"/>
              </w:tabs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595CB6">
              <w:rPr>
                <w:rFonts w:eastAsia="SimSun"/>
                <w:color w:val="000000"/>
                <w:sz w:val="24"/>
                <w:szCs w:val="24"/>
                <w:lang w:eastAsia="zh-CN"/>
              </w:rPr>
              <w:t>требования в части максимальной высоты, установленные настоящими Правилами, не распространяются на антенны, вентиляционные и дымовые трубы;</w:t>
            </w:r>
          </w:p>
          <w:p w:rsidR="00F428A0" w:rsidRPr="00595CB6" w:rsidRDefault="00F428A0" w:rsidP="009C4A85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b/>
          <w:color w:val="000000"/>
          <w:sz w:val="24"/>
          <w:szCs w:val="24"/>
          <w:lang w:eastAsia="zh-CN"/>
        </w:rPr>
      </w:pP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outlineLvl w:val="0"/>
        <w:rPr>
          <w:rFonts w:eastAsia="SimSun"/>
          <w:b/>
          <w:color w:val="000000"/>
          <w:sz w:val="24"/>
          <w:szCs w:val="24"/>
          <w:lang w:eastAsia="zh-CN"/>
        </w:rPr>
      </w:pPr>
      <w:r w:rsidRPr="00595CB6">
        <w:rPr>
          <w:rFonts w:eastAsia="SimSun"/>
          <w:b/>
          <w:color w:val="000000"/>
          <w:sz w:val="24"/>
          <w:szCs w:val="24"/>
          <w:lang w:eastAsia="zh-CN"/>
        </w:rPr>
        <w:t>Ограничения использования земельных участков и объектов капитального строительства: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outlineLvl w:val="0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color w:val="000000"/>
          <w:sz w:val="24"/>
          <w:szCs w:val="24"/>
        </w:rPr>
        <w:t>Минимальный процент озеленения земельного участка для зданий общественно-делового назначения и апартаментов – 10%.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Расстояние до красной линии: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 xml:space="preserve">1) от Пожарных депо - 10 м (15 м - для депо </w:t>
      </w:r>
      <w:r w:rsidRPr="00595CB6">
        <w:rPr>
          <w:rFonts w:eastAsia="SimSun"/>
          <w:color w:val="000000"/>
          <w:sz w:val="24"/>
          <w:szCs w:val="24"/>
          <w:lang w:val="en-US" w:eastAsia="zh-CN"/>
        </w:rPr>
        <w:t>I</w:t>
      </w:r>
      <w:r w:rsidRPr="00595CB6">
        <w:rPr>
          <w:rFonts w:eastAsia="SimSun"/>
          <w:color w:val="000000"/>
          <w:sz w:val="24"/>
          <w:szCs w:val="24"/>
          <w:lang w:eastAsia="zh-CN"/>
        </w:rPr>
        <w:t xml:space="preserve"> типа);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2) улиц, от жилых и общественных зданий  – 5 м;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3) проездов, от жилых и общественных зданий – 3 м;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4) от остальных зданий и сооружений - 5 м.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rFonts w:eastAsia="SimSun"/>
          <w:color w:val="000000"/>
          <w:sz w:val="24"/>
          <w:szCs w:val="24"/>
          <w:lang w:eastAsia="zh-CN"/>
        </w:rPr>
      </w:pP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самоуправления.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Все здания, строения и сооружения должны быть  обеспечены системами водоотведения с кровли, с целью предотвращения подтопления соседних земельных участков и строений.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lastRenderedPageBreak/>
        <w:t>Вспомогательные строения, за исключением гаражей, размещать со стороны улиц не допускается. При этом этажность их не должна превышать двух этажей, при условии обеспечения нормативной инсоляции на территории соседних участков.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Расстояние от площадок с контейнерами для сбора твердых бытовых отходов до окон жилых домов, границ участков детских, лечебных учреждений, мест отдыха должны быть не менее 20 м, и не более 100 м. Общее количество контейнеров не более 5 шт.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2,0 м. (кроме объектов со специальными требованиями к ограждению их территории). По границе с соседним земельным участком ограждения должны быть проветриваемыми на высоту не менее 0,5 м от уровня земли ограждения и высотой не более 2,0 м. 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Примечание общее.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595CB6">
        <w:rPr>
          <w:rFonts w:eastAsia="SimSun"/>
          <w:color w:val="000000"/>
          <w:sz w:val="24"/>
          <w:szCs w:val="24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 (ст. 33 абзац 7 настоящих Правил):</w:t>
      </w:r>
    </w:p>
    <w:p w:rsidR="00F428A0" w:rsidRPr="00595CB6" w:rsidRDefault="00F428A0" w:rsidP="00F428A0">
      <w:pPr>
        <w:shd w:val="clear" w:color="auto" w:fill="FFFFFF"/>
        <w:ind w:firstLine="540"/>
        <w:rPr>
          <w:color w:val="000000"/>
          <w:sz w:val="24"/>
          <w:szCs w:val="24"/>
        </w:rPr>
      </w:pPr>
      <w:r w:rsidRPr="00595CB6">
        <w:rPr>
          <w:color w:val="000000"/>
          <w:sz w:val="24"/>
          <w:szCs w:val="24"/>
        </w:rPr>
        <w:t xml:space="preserve">1) строительство объектов капитального строительства, не обеспеченных сооружениями и (или) методами инженерной защиты территорий и объектов от негативного воздействия вод; </w:t>
      </w:r>
    </w:p>
    <w:p w:rsidR="00F428A0" w:rsidRPr="00595CB6" w:rsidRDefault="00F428A0" w:rsidP="00F428A0">
      <w:pPr>
        <w:shd w:val="clear" w:color="auto" w:fill="FFFFFF"/>
        <w:ind w:firstLine="540"/>
        <w:rPr>
          <w:color w:val="000000"/>
          <w:sz w:val="24"/>
          <w:szCs w:val="24"/>
        </w:rPr>
      </w:pPr>
      <w:r w:rsidRPr="00595CB6">
        <w:rPr>
          <w:color w:val="000000"/>
          <w:sz w:val="24"/>
          <w:szCs w:val="24"/>
        </w:rPr>
        <w:t>2) использование сточных вод в целях повышения почвенного плодородия;</w:t>
      </w:r>
    </w:p>
    <w:p w:rsidR="00F428A0" w:rsidRPr="00595CB6" w:rsidRDefault="00F428A0" w:rsidP="00F428A0">
      <w:pPr>
        <w:ind w:firstLine="540"/>
        <w:rPr>
          <w:color w:val="000000"/>
          <w:sz w:val="24"/>
          <w:szCs w:val="24"/>
        </w:rPr>
      </w:pPr>
      <w:r w:rsidRPr="00595CB6">
        <w:rPr>
          <w:color w:val="000000"/>
          <w:sz w:val="24"/>
          <w:szCs w:val="24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</w:t>
      </w:r>
    </w:p>
    <w:p w:rsidR="00F428A0" w:rsidRPr="00595CB6" w:rsidRDefault="00F428A0" w:rsidP="00F428A0">
      <w:pPr>
        <w:shd w:val="clear" w:color="auto" w:fill="FFFFFF"/>
        <w:ind w:firstLine="540"/>
        <w:rPr>
          <w:color w:val="000000"/>
          <w:sz w:val="24"/>
          <w:szCs w:val="24"/>
        </w:rPr>
      </w:pPr>
      <w:r w:rsidRPr="00595CB6">
        <w:rPr>
          <w:color w:val="000000"/>
          <w:sz w:val="24"/>
          <w:szCs w:val="24"/>
        </w:rPr>
        <w:t xml:space="preserve">4) осуществление авиационных мер по борьбе с вредными организмами. 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 xml:space="preserve">В соответствии с пунктами 2 и 3 части 4 статьи 36 Градостроительного кодекса Российской Федерации, действие градостроительного регламента не распространяется на земельные участки: 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- в границах территорий общего пользования;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595CB6">
        <w:rPr>
          <w:rFonts w:eastAsia="SimSun"/>
          <w:color w:val="000000"/>
          <w:sz w:val="24"/>
          <w:szCs w:val="24"/>
          <w:lang w:eastAsia="zh-CN"/>
        </w:rPr>
        <w:t>- предназначенные для размещения линейных объектов и (или) занятые линейными объектами.</w:t>
      </w:r>
      <w:proofErr w:type="gramEnd"/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595CB6">
        <w:rPr>
          <w:rFonts w:eastAsia="SimSun"/>
          <w:color w:val="000000"/>
          <w:sz w:val="24"/>
          <w:szCs w:val="24"/>
          <w:lang w:eastAsia="zh-CN"/>
        </w:rPr>
        <w:t xml:space="preserve">Формирование земельных участков, предназначенных для размещения объектов улично-дорожной сети, автомобильных дорог и </w:t>
      </w:r>
      <w:r w:rsidRPr="00595CB6">
        <w:rPr>
          <w:rFonts w:eastAsia="SimSun"/>
          <w:color w:val="000000"/>
          <w:sz w:val="24"/>
          <w:szCs w:val="24"/>
          <w:lang w:eastAsia="zh-CN"/>
        </w:rPr>
        <w:lastRenderedPageBreak/>
        <w:t>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 (земельные участки (территории) общего пользования (код 12.0.)), а также размещение различного рода путей сообщения и сооружений, используемых для перевозки людей или грузов либо передачи веществ</w:t>
      </w:r>
      <w:proofErr w:type="gramEnd"/>
      <w:r w:rsidRPr="00595CB6">
        <w:rPr>
          <w:rFonts w:eastAsia="SimSun"/>
          <w:color w:val="000000"/>
          <w:sz w:val="24"/>
          <w:szCs w:val="24"/>
          <w:lang w:eastAsia="zh-CN"/>
        </w:rPr>
        <w:t xml:space="preserve"> (код 7.0) осуществляется в соответствии с действующим законодательством.</w:t>
      </w:r>
    </w:p>
    <w:p w:rsidR="00F428A0" w:rsidRPr="00595CB6" w:rsidRDefault="00F428A0" w:rsidP="00F428A0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595CB6">
        <w:rPr>
          <w:rFonts w:eastAsia="SimSun"/>
          <w:color w:val="000000"/>
          <w:sz w:val="24"/>
          <w:szCs w:val="24"/>
          <w:lang w:eastAsia="zh-CN"/>
        </w:rPr>
        <w:t>Размещение зданий, строений и сооружений возможно при соблюдении требований статьи 33 настоящих Правил.</w:t>
      </w:r>
    </w:p>
    <w:p w:rsidR="00230503" w:rsidRDefault="00230503">
      <w:bookmarkStart w:id="0" w:name="_GoBack"/>
      <w:bookmarkEnd w:id="0"/>
    </w:p>
    <w:sectPr w:rsidR="00230503" w:rsidSect="00F428A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71C"/>
    <w:rsid w:val="001E771C"/>
    <w:rsid w:val="00230503"/>
    <w:rsid w:val="00F4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2382</Words>
  <Characters>13583</Characters>
  <Application>Microsoft Office Word</Application>
  <DocSecurity>0</DocSecurity>
  <Lines>113</Lines>
  <Paragraphs>31</Paragraphs>
  <ScaleCrop>false</ScaleCrop>
  <Company/>
  <LinksUpToDate>false</LinksUpToDate>
  <CharactersWithSpaces>15934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2023-08-22T14:59:00Z</dcterms:created>
  <dcterms:modified xsi:type="dcterms:W3CDTF">2023-08-22T14:59:00Z</dcterms:modified>
</cp:coreProperties>
</file>