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FA" w:rsidRDefault="00F011FA" w:rsidP="00F011FA">
      <w:pPr>
        <w:pStyle w:val="af9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1FA" w:rsidRDefault="00F011FA" w:rsidP="00F011FA">
      <w:pPr>
        <w:pStyle w:val="af9"/>
        <w:rPr>
          <w:rFonts w:ascii="Times New Roman" w:hAnsi="Times New Roman"/>
          <w:sz w:val="24"/>
          <w:szCs w:val="24"/>
        </w:rPr>
      </w:pPr>
    </w:p>
    <w:p w:rsidR="00F011FA" w:rsidRDefault="00F011FA" w:rsidP="00F011F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F011FA" w:rsidRDefault="00F011FA" w:rsidP="00F011FA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011FA" w:rsidRDefault="00F011FA" w:rsidP="00F011FA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F011FA" w:rsidRDefault="00F011FA" w:rsidP="00F011FA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F011FA" w:rsidRDefault="00F011FA" w:rsidP="00F011FA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F011FA" w:rsidRDefault="00F011FA" w:rsidP="00F011FA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29.07.2022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№ 215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F011FA" w:rsidRDefault="00F011FA" w:rsidP="00F01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Крымск</w:t>
      </w:r>
    </w:p>
    <w:p w:rsidR="00F011FA" w:rsidRDefault="00F011FA" w:rsidP="00F011FA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F011FA" w:rsidRDefault="00F011FA" w:rsidP="00D958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8C2" w:rsidRPr="00410EC2" w:rsidRDefault="00D958C2" w:rsidP="00D958C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EC2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410EC2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410EC2">
        <w:rPr>
          <w:rFonts w:ascii="Times New Roman" w:hAnsi="Times New Roman" w:cs="Times New Roman"/>
          <w:b/>
          <w:sz w:val="27"/>
          <w:szCs w:val="27"/>
        </w:rPr>
      </w:r>
      <w:r w:rsidRPr="00410EC2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410EC2">
        <w:rPr>
          <w:rFonts w:ascii="Times New Roman" w:hAnsi="Times New Roman" w:cs="Times New Roman"/>
          <w:b/>
          <w:sz w:val="27"/>
          <w:szCs w:val="27"/>
        </w:rPr>
        <w:t>Об утверждении му</w:t>
      </w:r>
      <w:r>
        <w:rPr>
          <w:rFonts w:ascii="Times New Roman" w:hAnsi="Times New Roman" w:cs="Times New Roman"/>
          <w:b/>
          <w:sz w:val="27"/>
          <w:szCs w:val="27"/>
        </w:rPr>
        <w:t xml:space="preserve">ниципальной программы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</w:t>
      </w:r>
      <w:r w:rsidRPr="00410EC2">
        <w:rPr>
          <w:rFonts w:ascii="Times New Roman" w:hAnsi="Times New Roman" w:cs="Times New Roman"/>
          <w:b/>
          <w:sz w:val="27"/>
          <w:szCs w:val="27"/>
        </w:rPr>
        <w:t xml:space="preserve">муниципального образования Крымский район 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</w:t>
      </w:r>
      <w:r w:rsidRPr="00410EC2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Обеспечение безопасности населения»</w:t>
      </w:r>
    </w:p>
    <w:p w:rsidR="00D958C2" w:rsidRPr="00E073B7" w:rsidRDefault="00D958C2" w:rsidP="00D958C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EC2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D958C2" w:rsidRPr="00E073B7" w:rsidRDefault="00D958C2" w:rsidP="00D958C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p w:rsidR="00D958C2" w:rsidRPr="00E073B7" w:rsidRDefault="00D958C2" w:rsidP="00D958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>В соответствии</w:t>
      </w:r>
      <w:r>
        <w:rPr>
          <w:rFonts w:ascii="Times New Roman" w:hAnsi="Times New Roman" w:cs="Times New Roman"/>
          <w:sz w:val="27"/>
          <w:szCs w:val="27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D95034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50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 от 17 августа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95034">
        <w:rPr>
          <w:rFonts w:ascii="Times New Roman" w:hAnsi="Times New Roman" w:cs="Times New Roman"/>
          <w:sz w:val="28"/>
          <w:szCs w:val="28"/>
        </w:rPr>
        <w:t>№ 1700 «Об утверждении порядка разработки и реализации муниципальных программ муниципального образования Крымский район»</w:t>
      </w:r>
      <w:r w:rsidRPr="00E073B7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  <w:bookmarkStart w:id="1" w:name="sub_1"/>
    </w:p>
    <w:p w:rsidR="00D958C2" w:rsidRDefault="00D958C2" w:rsidP="00D95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>1. </w:t>
      </w:r>
      <w:r>
        <w:rPr>
          <w:rFonts w:ascii="Times New Roman" w:hAnsi="Times New Roman" w:cs="Times New Roman"/>
          <w:sz w:val="27"/>
          <w:szCs w:val="27"/>
        </w:rPr>
        <w:t>Утвердить муниципальную программу муниципального образования Крымский район «Обеспечение безопасности населения» (приложение).</w:t>
      </w:r>
    </w:p>
    <w:p w:rsidR="00D958C2" w:rsidRPr="00E073B7" w:rsidRDefault="00D958C2" w:rsidP="00D95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E073B7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E073B7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E073B7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D958C2" w:rsidRPr="00E073B7" w:rsidRDefault="00D958C2" w:rsidP="00D958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E073B7">
        <w:rPr>
          <w:rFonts w:ascii="Times New Roman" w:hAnsi="Times New Roman" w:cs="Times New Roman"/>
          <w:sz w:val="27"/>
          <w:szCs w:val="27"/>
        </w:rPr>
        <w:t xml:space="preserve">. Постановление вступает в силу </w:t>
      </w:r>
      <w:r>
        <w:rPr>
          <w:rFonts w:ascii="Times New Roman" w:hAnsi="Times New Roman" w:cs="Times New Roman"/>
          <w:sz w:val="27"/>
          <w:szCs w:val="27"/>
        </w:rPr>
        <w:t>со дня подписания и распространяется на правоотношения, возникающие с 1 января 2025 года.</w:t>
      </w:r>
    </w:p>
    <w:p w:rsidR="00D958C2" w:rsidRPr="00E073B7" w:rsidRDefault="00D958C2" w:rsidP="00D958C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7"/>
    </w:p>
    <w:p w:rsidR="00D958C2" w:rsidRPr="00E073B7" w:rsidRDefault="00D958C2" w:rsidP="00D958C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958C2" w:rsidRPr="00E073B7" w:rsidRDefault="00D958C2" w:rsidP="00D958C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1"/>
    <w:bookmarkEnd w:id="2"/>
    <w:p w:rsidR="00D958C2" w:rsidRPr="00E073B7" w:rsidRDefault="00D958C2" w:rsidP="00D958C2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E073B7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E073B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958C2" w:rsidRPr="00EE1195" w:rsidRDefault="00D958C2" w:rsidP="00D958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073B7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E073B7">
        <w:rPr>
          <w:rFonts w:ascii="Times New Roman" w:hAnsi="Times New Roman" w:cs="Times New Roman"/>
          <w:sz w:val="27"/>
          <w:szCs w:val="27"/>
        </w:rPr>
        <w:t xml:space="preserve">   </w:t>
      </w:r>
      <w:proofErr w:type="spellStart"/>
      <w:r w:rsidRPr="00E073B7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p w:rsidR="00D958C2" w:rsidRDefault="00D958C2" w:rsidP="00D958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D958C2" w:rsidRDefault="00D958C2" w:rsidP="00D958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11FA" w:rsidRDefault="00F011FA" w:rsidP="00F011F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F011FA" w:rsidRDefault="00F011FA" w:rsidP="00F011F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AC6D5E" w:rsidRDefault="00AC6D5E"/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F011FA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F011FA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F011FA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от_________№_________</w:t>
                  </w:r>
                </w:p>
                <w:p w:rsidR="00DE7C5E" w:rsidRPr="00DE7C5E" w:rsidRDefault="00DE7C5E" w:rsidP="00F011FA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8090F" w:rsidRPr="00D95034" w:rsidRDefault="0038090F" w:rsidP="00380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034">
              <w:rPr>
                <w:rFonts w:ascii="Times New Roman" w:hAnsi="Times New Roman" w:cs="Times New Roman"/>
                <w:sz w:val="28"/>
                <w:szCs w:val="28"/>
              </w:rPr>
              <w:t xml:space="preserve">- постановление администрации муниципального образования Крымский район от 17 августа 2020 года </w:t>
            </w:r>
            <w:r w:rsidRPr="00D95034">
              <w:rPr>
                <w:rFonts w:ascii="Times New Roman" w:hAnsi="Times New Roman" w:cs="Times New Roman"/>
                <w:sz w:val="28"/>
                <w:szCs w:val="28"/>
              </w:rPr>
              <w:br/>
              <w:t>№ 1700 «Об утверждении порядка разработки и реализации муниципальных программ муниципального образования Крымский район»;</w:t>
            </w:r>
          </w:p>
          <w:p w:rsidR="003E7516" w:rsidRDefault="0038090F" w:rsidP="00380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034">
              <w:rPr>
                <w:rFonts w:ascii="Times New Roman" w:hAnsi="Times New Roman" w:cs="Times New Roman"/>
                <w:sz w:val="28"/>
                <w:szCs w:val="28"/>
              </w:rPr>
              <w:t>- постановление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 район»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 и 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исполнители отдельных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жизнеобеспечения, транспорта, связи и экологической безопасности администрации муниципального 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по предупреждению 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8A3911" w:rsidP="008A39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безопасности населения Крымского района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Основными задачами являются:</w:t>
            </w:r>
          </w:p>
          <w:p w:rsidR="008A3911" w:rsidRP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- </w:t>
            </w: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      </w:r>
          </w:p>
          <w:p w:rsidR="008A3911" w:rsidRP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- </w:t>
            </w: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обеспечение и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техногенного;</w:t>
            </w:r>
          </w:p>
          <w:p w:rsidR="008A3911" w:rsidRP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- </w:t>
            </w: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развитие и обеспечение </w:t>
            </w:r>
            <w:proofErr w:type="gramStart"/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функционирования системы комплексного обеспечения безопасности жизнедеятельности Крымского района</w:t>
            </w:r>
            <w:proofErr w:type="gramEnd"/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 на основе внедрения информационно-</w:t>
            </w: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lastRenderedPageBreak/>
              <w:t>коммуникационных технологий;</w:t>
            </w:r>
          </w:p>
          <w:p w:rsidR="008A3911" w:rsidRP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- </w:t>
            </w: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создание условий для укрепления правопорядка, обеспечения общественной безопасности и профилактики правонарушений в Крымском районе;</w:t>
            </w:r>
          </w:p>
          <w:p w:rsidR="008A3911" w:rsidRPr="008A3911" w:rsidRDefault="008A3911" w:rsidP="008A3911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- совершенствование системы обеспечения пожарной безопасности в Крымском районе;</w:t>
            </w:r>
          </w:p>
          <w:p w:rsidR="003E7516" w:rsidRPr="008A3911" w:rsidRDefault="008A3911" w:rsidP="008A39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 профилактика терроризма и экстремизма на территории Крымского района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8A3911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 w:rsidRPr="008A3911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аварийно-спасательного отр</w:t>
            </w:r>
            <w:r w:rsidR="001814E3" w:rsidRPr="008A3911">
              <w:rPr>
                <w:rFonts w:ascii="Times New Roman" w:hAnsi="Times New Roman" w:cs="Times New Roman"/>
                <w:sz w:val="28"/>
                <w:szCs w:val="28"/>
              </w:rPr>
              <w:t>яда муниципального образования</w:t>
            </w:r>
            <w:r w:rsidR="003E7516"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7516" w:rsidRPr="008A3911" w:rsidRDefault="00883BA8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814E3" w:rsidRPr="008A3911">
              <w:rPr>
                <w:rFonts w:ascii="Times New Roman" w:hAnsi="Times New Roman" w:cs="Times New Roman"/>
                <w:sz w:val="28"/>
                <w:szCs w:val="28"/>
              </w:rPr>
              <w:t>оличество приобретенных лекарственных препаратов и медицинского оборудования</w:t>
            </w:r>
            <w:r w:rsidR="003E7516"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7516" w:rsidRPr="008A3911" w:rsidRDefault="003E751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814E3" w:rsidRPr="008A3911">
              <w:rPr>
                <w:rFonts w:ascii="Times New Roman" w:hAnsi="Times New Roman" w:cs="Times New Roman"/>
                <w:sz w:val="28"/>
                <w:szCs w:val="28"/>
              </w:rPr>
              <w:t>оличество радиочастот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4E3" w:rsidRPr="008A3911" w:rsidRDefault="001814E3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оличество изготовленных памяток, карт ГОЧС для населения;</w:t>
            </w:r>
          </w:p>
          <w:p w:rsidR="002C1FC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зготовление и установка баннеров;</w:t>
            </w:r>
          </w:p>
          <w:p w:rsidR="002C1FC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бучение руководящего состава, специалистов, спасателей и населения;</w:t>
            </w:r>
          </w:p>
          <w:p w:rsidR="009D736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азработка плана ЧС;</w:t>
            </w:r>
          </w:p>
          <w:p w:rsidR="002C1FC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риобретение оборудования (</w:t>
            </w:r>
            <w:proofErr w:type="spellStart"/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2C1FC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риобретение оборудования для оповещения населения (громкоговорители);</w:t>
            </w:r>
          </w:p>
          <w:p w:rsidR="002C1FCD" w:rsidRPr="008A3911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риобретение оборудования для аварийно-спасательного отряда муниципального образования;</w:t>
            </w:r>
          </w:p>
          <w:p w:rsidR="003E7516" w:rsidRPr="008A3911" w:rsidRDefault="002C1FCD" w:rsidP="00616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риобретение оборудования для ЕДДС, АПК «Безопасный город»</w:t>
            </w:r>
            <w:r w:rsidR="009D736D"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1DDC" w:rsidRPr="008A3911" w:rsidRDefault="00811DDC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одержание 1 учреждения МКУ «УЧСГЗ МО Крымский район»</w:t>
            </w:r>
            <w:r w:rsidR="009D736D"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1FCD" w:rsidRPr="008A3911" w:rsidRDefault="00811DDC" w:rsidP="00616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одержание АПК «Безопасный город»</w:t>
            </w:r>
            <w:r w:rsidR="009D736D" w:rsidRPr="008A39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29B9" w:rsidRPr="008A3911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нижение количества преступлений, совершенных на территории Крымского района; </w:t>
            </w:r>
          </w:p>
          <w:p w:rsidR="009C29B9" w:rsidRPr="008A3911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нижение числа лиц, состоящих на учете за немедицинское употребление наркотиков; </w:t>
            </w:r>
          </w:p>
          <w:p w:rsidR="009C29B9" w:rsidRPr="008A3911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нижение числа лиц, состоящих на учете по поводу хронического алкоголизма и алкогольных психозов;</w:t>
            </w:r>
          </w:p>
          <w:p w:rsidR="009C29B9" w:rsidRPr="008A3911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нижение уровня рецидивной 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преступности; </w:t>
            </w:r>
          </w:p>
          <w:p w:rsidR="009C29B9" w:rsidRPr="008A3911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нижение уровня преступности несовершеннолетних; </w:t>
            </w:r>
          </w:p>
          <w:p w:rsidR="00811DDC" w:rsidRPr="008A3911" w:rsidRDefault="009C29B9" w:rsidP="00616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32B66" w:rsidRPr="008A391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нижение уровня преступлений, совершенных на улицах и в других общественных;</w:t>
            </w:r>
          </w:p>
          <w:p w:rsidR="009C29B9" w:rsidRPr="008A3911" w:rsidRDefault="00DF7B05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C29B9" w:rsidRPr="008A3911">
              <w:rPr>
                <w:rFonts w:ascii="Times New Roman" w:hAnsi="Times New Roman" w:cs="Times New Roman"/>
                <w:sz w:val="28"/>
                <w:szCs w:val="28"/>
              </w:rPr>
              <w:t>асчет пожарного риска «Аудит»;</w:t>
            </w:r>
          </w:p>
          <w:p w:rsidR="009C29B9" w:rsidRPr="008A3911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C29B9" w:rsidRPr="008A3911">
              <w:rPr>
                <w:rFonts w:ascii="Times New Roman" w:hAnsi="Times New Roman" w:cs="Times New Roman"/>
                <w:sz w:val="28"/>
                <w:szCs w:val="28"/>
              </w:rPr>
              <w:t>емонт, установка противопожарного, наружного водоснабжения (пожарного гидранта);</w:t>
            </w:r>
          </w:p>
          <w:p w:rsidR="008A17A9" w:rsidRPr="008A3911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A17A9" w:rsidRPr="008A3911">
              <w:rPr>
                <w:rFonts w:ascii="Times New Roman" w:hAnsi="Times New Roman" w:cs="Times New Roman"/>
                <w:sz w:val="28"/>
                <w:szCs w:val="28"/>
              </w:rPr>
              <w:t>ыполнение работ по устройству ограждений территорий, автоматических ворот;</w:t>
            </w:r>
          </w:p>
          <w:p w:rsidR="00DF7B05" w:rsidRPr="008A3911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173BE" w:rsidRPr="008A39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A17A9" w:rsidRPr="008A3911">
              <w:rPr>
                <w:rFonts w:ascii="Times New Roman" w:hAnsi="Times New Roman" w:cs="Times New Roman"/>
                <w:sz w:val="28"/>
                <w:szCs w:val="28"/>
              </w:rPr>
              <w:t>становка автономного голосового оповещения на случай возникновения ЧС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–202</w:t>
            </w:r>
            <w:r w:rsidR="00DE5D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8A3911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составляет </w:t>
            </w:r>
            <w:r w:rsidR="000C3EBB" w:rsidRPr="000C3EBB">
              <w:rPr>
                <w:rFonts w:ascii="Times New Roman" w:hAnsi="Times New Roman" w:cs="Times New Roman"/>
                <w:sz w:val="28"/>
                <w:szCs w:val="28"/>
              </w:rPr>
              <w:t>293 51</w:t>
            </w:r>
            <w:r w:rsidR="000E24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3EBB" w:rsidRPr="000C3E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E24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667B"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3E7516" w:rsidRPr="00F76DCE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0C3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0C3E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0C3EB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6DCE" w:rsidRPr="000C3EBB">
              <w:rPr>
                <w:rFonts w:ascii="Times New Roman" w:hAnsi="Times New Roman" w:cs="Times New Roman"/>
                <w:sz w:val="28"/>
                <w:szCs w:val="28"/>
              </w:rPr>
              <w:t>54 408,</w:t>
            </w:r>
            <w:r w:rsidR="00F76DCE" w:rsidRPr="00F76D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31F7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тыс. рублей (средства бюджета муниципального образования Крымский район);</w:t>
            </w:r>
          </w:p>
          <w:p w:rsidR="003E7516" w:rsidRPr="008A3911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D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F76D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F76D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76DCE" w:rsidRPr="00F76DCE">
              <w:rPr>
                <w:rFonts w:ascii="Times New Roman" w:hAnsi="Times New Roman" w:cs="Times New Roman"/>
                <w:sz w:val="28"/>
                <w:szCs w:val="28"/>
              </w:rPr>
              <w:t>56 475,5</w:t>
            </w:r>
            <w:r w:rsidR="009831F7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F76DC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F76D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район);</w:t>
            </w:r>
          </w:p>
          <w:p w:rsidR="00CB7C13" w:rsidRPr="0010007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0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1000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0007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10007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00074" w:rsidRPr="00100074">
              <w:rPr>
                <w:rFonts w:ascii="Times New Roman" w:hAnsi="Times New Roman" w:cs="Times New Roman"/>
                <w:sz w:val="28"/>
                <w:szCs w:val="28"/>
              </w:rPr>
              <w:t>58 621,6</w:t>
            </w:r>
            <w:r w:rsidR="009831F7" w:rsidRPr="00100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00074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</w:t>
            </w:r>
          </w:p>
          <w:p w:rsidR="003E7516" w:rsidRPr="00765DC9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9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E559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E559F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E559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559F3" w:rsidRPr="00E559F3">
              <w:rPr>
                <w:rFonts w:ascii="Times New Roman" w:hAnsi="Times New Roman" w:cs="Times New Roman"/>
                <w:sz w:val="28"/>
                <w:szCs w:val="28"/>
              </w:rPr>
              <w:t>60 848,</w:t>
            </w:r>
            <w:r w:rsidR="000E24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31F7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E559F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из средств бюджета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образования;</w:t>
            </w:r>
          </w:p>
          <w:p w:rsidR="003E7516" w:rsidRPr="008A3911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D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E5DED" w:rsidRPr="00765DC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C63AD"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765D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65DC9" w:rsidRPr="00765DC9">
              <w:rPr>
                <w:rFonts w:ascii="Times New Roman" w:hAnsi="Times New Roman" w:cs="Times New Roman"/>
                <w:sz w:val="28"/>
                <w:szCs w:val="28"/>
              </w:rPr>
              <w:t>63 161,0</w:t>
            </w:r>
            <w:r w:rsidR="009831F7" w:rsidRPr="00765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765DC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бюджета муниципального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8A3911" w:rsidRDefault="006962B7" w:rsidP="00CC3A17">
            <w:pPr>
              <w:pStyle w:val="af9"/>
              <w:jc w:val="both"/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</w:pPr>
            <w:r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      </w:r>
            <w:r w:rsidR="003B6BCB"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>56 776,2</w:t>
            </w:r>
            <w:r w:rsidR="003E7516" w:rsidRPr="008A3911">
              <w:rPr>
                <w:rFonts w:ascii="Times New Roman" w:eastAsiaTheme="minorEastAsia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10 524,6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10 924,4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11 339,6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11 770,</w:t>
            </w:r>
            <w:r w:rsidR="000E24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12 217,4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61C4E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рисков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и смягчение последствий чрезвычайных ситуаций». Общий объем финансирования подпрограммы составляет</w:t>
            </w:r>
          </w:p>
          <w:p w:rsidR="003E7516" w:rsidRPr="00043077" w:rsidRDefault="003B6BCB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31 822,4</w:t>
            </w:r>
            <w:r w:rsidR="003E7516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5 898,9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 xml:space="preserve">6 123,0 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6 355,6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6 597,1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6847,8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150 355,5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27 870,9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 xml:space="preserve">28 930,0 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A52E7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30 029,3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31 170,4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32 354,9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3B6BCB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1 061,7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_DdeLink__12597_134150095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196,8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204,3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212,1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220,1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8A3911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C3EBB" w:rsidRPr="008A39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A391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 w:rsidRPr="008A3911">
              <w:rPr>
                <w:rFonts w:ascii="Times New Roman" w:hAnsi="Times New Roman" w:cs="Times New Roman"/>
                <w:sz w:val="28"/>
                <w:szCs w:val="28"/>
              </w:rPr>
              <w:t>228,4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2514B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безопасность». Общий объем финансирования </w:t>
            </w:r>
            <w:r w:rsidRPr="002514B4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702AF9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33 812,0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6 267,6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6 505,8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6 753,0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7 009,6</w:t>
            </w:r>
            <w:r w:rsidR="009B0C37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7 276,0</w:t>
            </w:r>
            <w:r w:rsidR="000004B2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составляет: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19 687,1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3 649,4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3 788,0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3 932,0</w:t>
            </w:r>
            <w:r w:rsidR="002F17EE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CE6FB2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4 081,2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3B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B6BCB">
              <w:rPr>
                <w:rFonts w:ascii="Times New Roman" w:hAnsi="Times New Roman" w:cs="Times New Roman"/>
                <w:sz w:val="28"/>
                <w:szCs w:val="28"/>
              </w:rPr>
              <w:t>4 236,5</w:t>
            </w:r>
            <w:r w:rsidR="00C830D3" w:rsidRPr="00CE6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– второго. В настоящее время 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основании анализа территориального центра мониторинга и прогнозирования в Крымском районе ежегодно фиксируются случаи 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антитеррористической и антиэкстремистской безопасности учащихся, воспитанников и работников образовательных организаций, сохранность 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успешное взаимодействие между органами местного самоуправления, 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1A495B" w:rsidRDefault="001A495B" w:rsidP="001A495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95B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обеспечения безопасности населения Крымского района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</w:t>
      </w:r>
      <w:r w:rsidR="004F521E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 w:rsidR="004F521E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сохранения жизни обучающихся, 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t>Основными задачами подпрограммы являются достижение целей, мероприятий подпрограммы, решение вопросов обеспечения безопасности 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</w:t>
      </w:r>
      <w:r w:rsidR="00B57BB1">
        <w:rPr>
          <w:color w:val="000000"/>
        </w:rPr>
        <w:t>5</w:t>
      </w:r>
      <w:r>
        <w:rPr>
          <w:color w:val="000000"/>
        </w:rPr>
        <w:t xml:space="preserve"> - 202</w:t>
      </w:r>
      <w:r w:rsidR="00B57BB1">
        <w:rPr>
          <w:color w:val="000000"/>
        </w:rPr>
        <w:t>9</w:t>
      </w:r>
      <w:r>
        <w:rPr>
          <w:color w:val="000000"/>
        </w:rPr>
        <w:t xml:space="preserve">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553176" w:rsidRPr="00553176" w:rsidRDefault="00553176" w:rsidP="005531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038CA" w:rsidRPr="001038CA" w:rsidRDefault="001038CA" w:rsidP="001038CA">
      <w:pPr>
        <w:pStyle w:val="1e"/>
        <w:numPr>
          <w:ilvl w:val="0"/>
          <w:numId w:val="22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8C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1038CA" w:rsidRPr="001038CA" w:rsidRDefault="001038CA" w:rsidP="001038CA">
      <w:pPr>
        <w:pStyle w:val="1e"/>
        <w:rPr>
          <w:rFonts w:ascii="Times New Roman" w:hAnsi="Times New Roman" w:cs="Times New Roman"/>
          <w:b/>
          <w:bCs/>
          <w:sz w:val="28"/>
          <w:szCs w:val="28"/>
        </w:rPr>
      </w:pPr>
    </w:p>
    <w:p w:rsidR="001038CA" w:rsidRPr="00D95034" w:rsidRDefault="001038CA" w:rsidP="001038CA">
      <w:pPr>
        <w:pStyle w:val="1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034">
        <w:rPr>
          <w:rFonts w:ascii="Times New Roman" w:hAnsi="Times New Roman" w:cs="Times New Roman"/>
          <w:bCs/>
          <w:sz w:val="28"/>
          <w:szCs w:val="28"/>
        </w:rPr>
        <w:t>Отдельные мероприятия в муниципальной программе не предусмотрены.</w:t>
      </w:r>
    </w:p>
    <w:p w:rsidR="001038CA" w:rsidRPr="00D95034" w:rsidRDefault="001038CA" w:rsidP="001038CA">
      <w:pPr>
        <w:pStyle w:val="1e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53176" w:rsidRPr="00BD440E" w:rsidRDefault="00553176" w:rsidP="007D732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7D73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E7516" w:rsidRPr="001038CA" w:rsidRDefault="003E7516" w:rsidP="001038CA">
      <w:pPr>
        <w:pStyle w:val="af7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8CA">
        <w:rPr>
          <w:rFonts w:ascii="Times New Roman" w:hAnsi="Times New Roman" w:cs="Times New Roman"/>
          <w:b/>
          <w:bCs/>
          <w:sz w:val="28"/>
          <w:szCs w:val="28"/>
        </w:rPr>
        <w:t>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7C1762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– 202</w:t>
      </w:r>
      <w:r w:rsidR="007C1762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руководителями образовательных организаций требований пожарной безопасности (ППБ) и предписаний органов 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1038CA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Pr="00403AB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3E7516" w:rsidRPr="00403AB0" w:rsidRDefault="003E7516" w:rsidP="003E7516">
      <w:pPr>
        <w:spacing w:after="0" w:line="240" w:lineRule="auto"/>
        <w:ind w:firstLine="709"/>
        <w:jc w:val="both"/>
      </w:pPr>
      <w:r w:rsidRPr="00403AB0">
        <w:rPr>
          <w:rFonts w:ascii="Times New Roman" w:hAnsi="Times New Roman" w:cs="Times New Roman"/>
          <w:sz w:val="28"/>
          <w:szCs w:val="28"/>
        </w:rPr>
        <w:t>Общий объем в финансировании муниципальной программы на 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>–202</w:t>
      </w:r>
      <w:r w:rsidR="00EE4120">
        <w:rPr>
          <w:rFonts w:ascii="Times New Roman" w:hAnsi="Times New Roman" w:cs="Times New Roman"/>
          <w:sz w:val="28"/>
          <w:szCs w:val="28"/>
        </w:rPr>
        <w:t>9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EE4120">
        <w:rPr>
          <w:rFonts w:ascii="Times New Roman" w:hAnsi="Times New Roman" w:cs="Times New Roman"/>
          <w:sz w:val="28"/>
          <w:szCs w:val="28"/>
        </w:rPr>
        <w:t>293 51</w:t>
      </w:r>
      <w:r w:rsidR="001038CA">
        <w:rPr>
          <w:rFonts w:ascii="Times New Roman" w:hAnsi="Times New Roman" w:cs="Times New Roman"/>
          <w:sz w:val="28"/>
          <w:szCs w:val="28"/>
        </w:rPr>
        <w:t>5</w:t>
      </w:r>
      <w:r w:rsidR="00EE4120">
        <w:rPr>
          <w:rFonts w:ascii="Times New Roman" w:hAnsi="Times New Roman" w:cs="Times New Roman"/>
          <w:sz w:val="28"/>
          <w:szCs w:val="28"/>
        </w:rPr>
        <w:t>,</w:t>
      </w:r>
      <w:r w:rsidR="001038CA">
        <w:rPr>
          <w:rFonts w:ascii="Times New Roman" w:hAnsi="Times New Roman" w:cs="Times New Roman"/>
          <w:sz w:val="28"/>
          <w:szCs w:val="28"/>
        </w:rPr>
        <w:t>1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3E7516" w:rsidRPr="00403AB0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Pr="00403AB0">
        <w:t> </w:t>
      </w:r>
      <w:r w:rsidR="00EE4120">
        <w:rPr>
          <w:rFonts w:ascii="Times New Roman" w:hAnsi="Times New Roman" w:cs="Times New Roman"/>
          <w:sz w:val="28"/>
          <w:szCs w:val="28"/>
        </w:rPr>
        <w:t>54 408,2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6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56 475,5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7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58 621,6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</w:t>
      </w:r>
      <w:r w:rsidR="00BE6261">
        <w:rPr>
          <w:rFonts w:ascii="Times New Roman" w:hAnsi="Times New Roman" w:cs="Times New Roman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8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EE4120">
        <w:rPr>
          <w:rFonts w:ascii="Times New Roman" w:hAnsi="Times New Roman" w:cs="Times New Roman"/>
          <w:sz w:val="28"/>
          <w:szCs w:val="28"/>
        </w:rPr>
        <w:t>60 848,</w:t>
      </w:r>
      <w:r w:rsidR="001038CA">
        <w:rPr>
          <w:rFonts w:ascii="Times New Roman" w:hAnsi="Times New Roman" w:cs="Times New Roman"/>
          <w:sz w:val="28"/>
          <w:szCs w:val="28"/>
        </w:rPr>
        <w:t>8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403AB0" w:rsidRDefault="00EE4120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63 161,0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район.</w:t>
      </w:r>
    </w:p>
    <w:p w:rsidR="003E7516" w:rsidRPr="00403AB0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56 776,</w:t>
      </w:r>
      <w:r w:rsidR="001038C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10 524,6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10 924,4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11 339,6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11 770,</w:t>
      </w:r>
      <w:r w:rsidR="001038C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12 217,4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Подпрограмма «Снижение рисков и смягчение последствий чрезвычайных ситуаций». Общий объем финансирования подпрограммы составляет </w:t>
      </w:r>
      <w:r w:rsidR="00EE4120">
        <w:rPr>
          <w:rFonts w:ascii="Times New Roman" w:hAnsi="Times New Roman" w:cs="Times New Roman"/>
          <w:sz w:val="28"/>
          <w:szCs w:val="28"/>
        </w:rPr>
        <w:t>31 822,4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sz w:val="28"/>
          <w:szCs w:val="28"/>
        </w:rPr>
        <w:t>5 898,9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</w:t>
      </w:r>
      <w:r w:rsidR="00EE4120">
        <w:rPr>
          <w:rFonts w:ascii="Times New Roman" w:hAnsi="Times New Roman" w:cs="Times New Roman"/>
          <w:sz w:val="28"/>
          <w:szCs w:val="28"/>
        </w:rPr>
        <w:t>6</w:t>
      </w:r>
      <w:r w:rsidRPr="00403AB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sz w:val="28"/>
          <w:szCs w:val="28"/>
        </w:rPr>
        <w:t>6 123,0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6 355,6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6 597,1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6 847,8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</w:r>
      <w:r w:rsidR="00EE4120">
        <w:rPr>
          <w:rFonts w:ascii="Times New Roman" w:hAnsi="Times New Roman" w:cs="Times New Roman"/>
          <w:sz w:val="28"/>
          <w:szCs w:val="28"/>
        </w:rPr>
        <w:t>150 355,5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</w:t>
      </w:r>
      <w:r w:rsidR="00FB1736">
        <w:rPr>
          <w:rFonts w:ascii="Times New Roman" w:hAnsi="Times New Roman" w:cs="Times New Roman"/>
          <w:sz w:val="28"/>
          <w:szCs w:val="28"/>
        </w:rPr>
        <w:t>:</w:t>
      </w:r>
      <w:r w:rsidRPr="00403AB0">
        <w:rPr>
          <w:rFonts w:ascii="Times New Roman" w:hAnsi="Times New Roman" w:cs="Times New Roman"/>
          <w:sz w:val="28"/>
          <w:szCs w:val="28"/>
        </w:rPr>
        <w:t xml:space="preserve">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 xml:space="preserve">27 870,9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28 930,0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 xml:space="preserve">30 029,3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31 170,4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32 354,9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846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1 061,7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403AB0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196,8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204,3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212,1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220,1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EE4120">
        <w:rPr>
          <w:rFonts w:ascii="Times New Roman" w:hAnsi="Times New Roman" w:cs="Times New Roman"/>
          <w:color w:val="000000"/>
          <w:sz w:val="28"/>
          <w:szCs w:val="28"/>
        </w:rPr>
        <w:t>228,4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E44312">
        <w:rPr>
          <w:rFonts w:ascii="Times New Roman" w:hAnsi="Times New Roman" w:cs="Times New Roman"/>
          <w:color w:val="000000"/>
          <w:sz w:val="28"/>
          <w:szCs w:val="28"/>
        </w:rPr>
        <w:t>33 812,0</w:t>
      </w:r>
      <w:r w:rsidR="00D65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5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6 267,6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6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6 505,8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7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6 753,0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8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7 009,6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9813E2" w:rsidRPr="007700AA">
        <w:rPr>
          <w:rFonts w:ascii="Times New Roman" w:hAnsi="Times New Roman" w:cs="Times New Roman"/>
          <w:sz w:val="28"/>
          <w:szCs w:val="28"/>
        </w:rPr>
        <w:t>й;</w:t>
      </w:r>
    </w:p>
    <w:p w:rsidR="003E7516" w:rsidRPr="007700AA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0AA">
        <w:rPr>
          <w:rFonts w:ascii="Times New Roman" w:hAnsi="Times New Roman" w:cs="Times New Roman"/>
          <w:sz w:val="28"/>
          <w:szCs w:val="28"/>
        </w:rPr>
        <w:t>202</w:t>
      </w:r>
      <w:r w:rsidR="007700AA" w:rsidRPr="007700AA">
        <w:rPr>
          <w:rFonts w:ascii="Times New Roman" w:hAnsi="Times New Roman" w:cs="Times New Roman"/>
          <w:sz w:val="28"/>
          <w:szCs w:val="28"/>
        </w:rPr>
        <w:t>9</w:t>
      </w:r>
      <w:r w:rsidRPr="007700A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sz w:val="28"/>
          <w:szCs w:val="28"/>
        </w:rPr>
        <w:t>7 276,0</w:t>
      </w:r>
      <w:r w:rsidRPr="007700A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19 687,1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3 649,4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3 788,0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3 932,0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4 081,2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Pr="00403AB0" w:rsidRDefault="003E7516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700AA">
        <w:rPr>
          <w:rFonts w:ascii="Times New Roman" w:hAnsi="Times New Roman" w:cs="Times New Roman"/>
          <w:color w:val="000000"/>
          <w:sz w:val="28"/>
          <w:szCs w:val="28"/>
        </w:rPr>
        <w:t>4 236,5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2067B7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B7" w:rsidRPr="002067B7" w:rsidRDefault="00D35FE4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B64960">
          <w:headerReference w:type="default" r:id="rId10"/>
          <w:headerReference w:type="first" r:id="rId11"/>
          <w:pgSz w:w="11907" w:h="16840" w:code="9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076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875"/>
        <w:gridCol w:w="965"/>
        <w:gridCol w:w="1032"/>
        <w:gridCol w:w="965"/>
        <w:gridCol w:w="20"/>
        <w:gridCol w:w="973"/>
        <w:gridCol w:w="965"/>
        <w:gridCol w:w="841"/>
        <w:gridCol w:w="912"/>
        <w:gridCol w:w="32"/>
      </w:tblGrid>
      <w:tr w:rsidR="003E7516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2067B7" w:rsidRDefault="00D35FE4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7</w:t>
            </w:r>
            <w:r w:rsidR="003E7516"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403EAF" w:rsidRPr="002D3FFC" w:rsidRDefault="003E7516" w:rsidP="002D3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«Обеспечения безопасности населения» на 202</w:t>
            </w:r>
            <w:r w:rsidR="001362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-202</w:t>
            </w:r>
            <w:r w:rsidR="001362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  <w:r w:rsidR="002D3FF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года</w:t>
            </w:r>
          </w:p>
          <w:p w:rsidR="003E7516" w:rsidRPr="002D3FFC" w:rsidRDefault="003E7516" w:rsidP="002D3FFC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Таблица № </w:t>
            </w:r>
            <w:r w:rsidR="00EC0F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03EAF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D3FFC" w:rsidTr="002D3FFC">
        <w:trPr>
          <w:trHeight w:val="379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2D3FFC" w:rsidTr="002D3FFC">
        <w:trPr>
          <w:trHeight w:val="413"/>
        </w:trPr>
        <w:tc>
          <w:tcPr>
            <w:tcW w:w="5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D3FFC" w:rsidRDefault="002D3FFC" w:rsidP="002D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  <w:r w:rsidR="00C70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2D3FFC" w:rsidRDefault="002D3FFC" w:rsidP="001362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2D3FFC" w:rsidRDefault="002D3FFC" w:rsidP="001362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2D3FFC" w:rsidRDefault="002D3FFC" w:rsidP="001362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2D3FFC" w:rsidRDefault="002D3FFC" w:rsidP="001362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</w:t>
            </w:r>
          </w:p>
        </w:tc>
      </w:tr>
      <w:tr w:rsidR="002D3FFC" w:rsidTr="00E372D9">
        <w:trPr>
          <w:trHeight w:val="900"/>
        </w:trPr>
        <w:tc>
          <w:tcPr>
            <w:tcW w:w="523" w:type="dxa"/>
            <w:gridSpan w:val="2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/>
        </w:tc>
        <w:tc>
          <w:tcPr>
            <w:tcW w:w="3044" w:type="dxa"/>
            <w:gridSpan w:val="2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73" w:type="dxa"/>
            </w:tcMar>
            <w:vAlign w:val="center"/>
          </w:tcPr>
          <w:p w:rsidR="002D3FFC" w:rsidRDefault="002D3FFC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2D3FFC" w:rsidRDefault="002D3FFC" w:rsidP="002D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2D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A51DF6">
            <w:pPr>
              <w:spacing w:after="0" w:line="240" w:lineRule="auto"/>
              <w:ind w:right="-1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2D3FFC" w:rsidRDefault="002D3FFC" w:rsidP="00A51DF6">
            <w:pPr>
              <w:spacing w:after="0" w:line="240" w:lineRule="auto"/>
              <w:ind w:right="-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</w:tr>
      <w:tr w:rsidR="003E7516" w:rsidTr="00B8574B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D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4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A51DF6">
        <w:trPr>
          <w:gridAfter w:val="1"/>
          <w:wAfter w:w="32" w:type="dxa"/>
          <w:trHeight w:val="85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4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D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A51DF6" w:rsidRDefault="00902C1D" w:rsidP="00A51DF6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Default="008C4081" w:rsidP="00A51D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A51DF6">
        <w:trPr>
          <w:trHeight w:val="69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hAnsi="Times New Roman" w:cs="Times New Roman"/>
                <w:sz w:val="24"/>
                <w:szCs w:val="24"/>
              </w:rPr>
              <w:t>Содержание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A51DF6">
        <w:trPr>
          <w:trHeight w:val="547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84F1E" w:rsidRPr="00A51DF6" w:rsidRDefault="006A53A2" w:rsidP="00A51D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53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="00A51D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езопасность дорожного движения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профилактики уличной преступност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отношение количества преступлений, совершенных на улицах и в других общественных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14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6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865C4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приобретённыхтехнических сре</w:t>
            </w:r>
            <w:proofErr w:type="gramStart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я установки в местах проведения массовых мероприятий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7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 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B64960" w:rsidP="0057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825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70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пожарного риска «Аудит»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4960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Pr="00570326" w:rsidRDefault="00B64960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Замена, ремонт АПС и системы оповещения людей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 пожаре в связи с истечением срока эксплуатации (свыше 10 лет)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B6496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64960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Pr="00A47D5C" w:rsidRDefault="00B64960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47D5C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АПС в чердачных и подвальных помещениях, котельных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Pr="00A47D5C" w:rsidRDefault="00A47D5C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64960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47D5C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Устройство </w:t>
            </w:r>
            <w:proofErr w:type="spell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молниезащиты</w:t>
            </w:r>
            <w:proofErr w:type="spellEnd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кровли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00500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00500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00500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00500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47D5C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Оборудование дверями с приспособлением для </w:t>
            </w:r>
            <w:proofErr w:type="spell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самозакрывания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8258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47D5C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Привидение в соответствие с требованиями пожарной безопасности путей эвакуации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00C85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A47D5C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7D5C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Монтаж аварийного освещения на путях эвакуации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Pr="00A47D5C" w:rsidRDefault="00A47D5C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47D5C" w:rsidRDefault="0078265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противопожарной двери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наружной пожарной лестницы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пожарной декларации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Оборудование </w:t>
            </w:r>
            <w:proofErr w:type="spell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электрошкафов</w:t>
            </w:r>
            <w:proofErr w:type="spellEnd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электрощитов автономной установкой пожаротушения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категории помещения по взрывопожарной и пожарной опасности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82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противопожарного люка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15.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огнетушителей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Укомплектование пожарного щита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Испытания ограждения кровли здания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A47D5C" w:rsidRDefault="00563FAA" w:rsidP="00A47D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9F1E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63FAA" w:rsidTr="00B8574B">
        <w:trPr>
          <w:trHeight w:val="504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терроризма и экстремизма в Крымском районе»</w:t>
            </w:r>
          </w:p>
        </w:tc>
      </w:tr>
      <w:tr w:rsidR="00563FAA" w:rsidTr="00B8574B">
        <w:trPr>
          <w:trHeight w:val="2496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устройству ограждений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563FA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Pr="0080248B" w:rsidRDefault="0080248B" w:rsidP="00802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563FAA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248B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учреждений электронными системами контроля и управления доступом, домофонами, автономным голосовым оповещением на случай возникновения ЧС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P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0248B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Pr="00A47D5C" w:rsidRDefault="0080248B" w:rsidP="00A47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Установка, ремонт, монтаж  системы видеонаблюдения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80248B">
            <w:pPr>
              <w:jc w:val="center"/>
            </w:pPr>
            <w:r w:rsidRPr="009E3F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80248B" w:rsidRDefault="0080248B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6998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Pr="00A47D5C" w:rsidRDefault="00B16998" w:rsidP="009F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генератора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80248B">
            <w:pPr>
              <w:jc w:val="center"/>
            </w:pPr>
            <w:r w:rsidRPr="009E3F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9F1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16998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Pr="00A47D5C" w:rsidRDefault="00B16998" w:rsidP="00A47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7D5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Монтаж тревожной сигнализации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80248B">
            <w:pPr>
              <w:jc w:val="center"/>
            </w:pPr>
            <w:r w:rsidRPr="009E3F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16998" w:rsidRDefault="00B16998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B64960">
          <w:footerReference w:type="default" r:id="rId12"/>
          <w:headerReference w:type="first" r:id="rId13"/>
          <w:pgSz w:w="15840" w:h="12240" w:orient="landscape"/>
          <w:pgMar w:top="1134" w:right="567" w:bottom="1134" w:left="1701" w:header="709" w:footer="0" w:gutter="0"/>
          <w:pgNumType w:start="22"/>
          <w:cols w:space="720"/>
          <w:formProt w:val="0"/>
          <w:titlePg/>
          <w:docGrid w:linePitch="360" w:charSpace="-2049"/>
        </w:sectPr>
      </w:pPr>
    </w:p>
    <w:p w:rsidR="003E7516" w:rsidRPr="002067B7" w:rsidRDefault="00D35FE4" w:rsidP="003E7516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размещает информацию о ходе реализации и достигнутых результатах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C156EC" w:rsidRPr="00C156EC" w:rsidRDefault="00083962" w:rsidP="00C156EC">
      <w:pPr>
        <w:widowControl w:val="0"/>
        <w:tabs>
          <w:tab w:val="left" w:pos="993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C156EC" w:rsidRPr="00D95034"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</w:t>
      </w:r>
      <w:r w:rsidR="00C156EC">
        <w:rPr>
          <w:rFonts w:ascii="Times New Roman" w:hAnsi="Times New Roman" w:cs="Times New Roman"/>
          <w:sz w:val="28"/>
          <w:szCs w:val="28"/>
        </w:rPr>
        <w:t>й системе «Управление» (ГАСУ)</w:t>
      </w:r>
      <w:r w:rsidR="003A57AC">
        <w:rPr>
          <w:rFonts w:ascii="Times New Roman" w:hAnsi="Times New Roman" w:cs="Times New Roman"/>
          <w:sz w:val="28"/>
          <w:szCs w:val="28"/>
        </w:rPr>
        <w:t>,</w:t>
      </w:r>
      <w:r w:rsidR="00C156EC">
        <w:rPr>
          <w:rFonts w:ascii="Times New Roman" w:hAnsi="Times New Roman" w:cs="Times New Roman"/>
          <w:sz w:val="28"/>
          <w:szCs w:val="28"/>
        </w:rPr>
        <w:t xml:space="preserve"> в течение 10 рабочих дней с момента ее утверждения.</w:t>
      </w:r>
    </w:p>
    <w:p w:rsidR="003E7516" w:rsidRDefault="003E7516" w:rsidP="00403B37">
      <w:pPr>
        <w:spacing w:after="0" w:line="240" w:lineRule="auto"/>
        <w:ind w:firstLine="709"/>
        <w:jc w:val="both"/>
      </w:pPr>
      <w:r w:rsidRPr="00D35FE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  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3A57AC" w:rsidP="003E7516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3E751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747A">
        <w:rPr>
          <w:rFonts w:ascii="Times New Roman" w:hAnsi="Times New Roman" w:cs="Times New Roman"/>
          <w:sz w:val="28"/>
          <w:szCs w:val="28"/>
        </w:rPr>
        <w:t>Е.Е.</w:t>
      </w:r>
      <w:r w:rsidR="002250A1">
        <w:rPr>
          <w:rFonts w:ascii="Times New Roman" w:hAnsi="Times New Roman" w:cs="Times New Roman"/>
          <w:sz w:val="28"/>
          <w:szCs w:val="28"/>
        </w:rPr>
        <w:t>Христофорова</w:t>
      </w:r>
    </w:p>
    <w:sectPr w:rsidR="003E7516" w:rsidSect="00AC6D5E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C3" w:rsidRDefault="00E337C3" w:rsidP="003E7516">
      <w:pPr>
        <w:spacing w:after="0" w:line="240" w:lineRule="auto"/>
      </w:pPr>
      <w:r>
        <w:separator/>
      </w:r>
    </w:p>
  </w:endnote>
  <w:endnote w:type="continuationSeparator" w:id="0">
    <w:p w:rsidR="00E337C3" w:rsidRDefault="00E337C3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60" w:rsidRDefault="00B64960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C3" w:rsidRDefault="00E337C3" w:rsidP="003E7516">
      <w:pPr>
        <w:spacing w:after="0" w:line="240" w:lineRule="auto"/>
      </w:pPr>
      <w:r>
        <w:separator/>
      </w:r>
    </w:p>
  </w:footnote>
  <w:footnote w:type="continuationSeparator" w:id="0">
    <w:p w:rsidR="00E337C3" w:rsidRDefault="00E337C3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60" w:rsidRPr="00DC525C" w:rsidRDefault="00B64960" w:rsidP="00035F31">
    <w:pPr>
      <w:pStyle w:val="afa"/>
      <w:tabs>
        <w:tab w:val="left" w:pos="4500"/>
        <w:tab w:val="center" w:pos="4819"/>
      </w:tabs>
      <w:jc w:val="center"/>
      <w:rPr>
        <w:rFonts w:ascii="Times New Roman" w:hAnsi="Times New Roman" w:cs="Times New Roman"/>
      </w:rPr>
    </w:pPr>
    <w:r w:rsidRPr="00F53DAD">
      <w:rPr>
        <w:rFonts w:ascii="Times New Roman" w:hAnsi="Times New Roman" w:cs="Times New Roman"/>
      </w:rPr>
      <w:fldChar w:fldCharType="begin"/>
    </w:r>
    <w:r w:rsidRPr="00F53DAD">
      <w:rPr>
        <w:rFonts w:ascii="Times New Roman" w:hAnsi="Times New Roman" w:cs="Times New Roman"/>
      </w:rPr>
      <w:instrText>PAGE   \* MERGEFORMAT</w:instrText>
    </w:r>
    <w:r w:rsidRPr="00F53DAD">
      <w:rPr>
        <w:rFonts w:ascii="Times New Roman" w:hAnsi="Times New Roman" w:cs="Times New Roman"/>
      </w:rPr>
      <w:fldChar w:fldCharType="separate"/>
    </w:r>
    <w:r w:rsidR="00D958C2">
      <w:rPr>
        <w:rFonts w:ascii="Times New Roman" w:hAnsi="Times New Roman" w:cs="Times New Roman"/>
        <w:noProof/>
      </w:rPr>
      <w:t>30</w:t>
    </w:r>
    <w:r w:rsidRPr="00F53DAD">
      <w:rPr>
        <w:rFonts w:ascii="Times New Roman" w:hAnsi="Times New Roman" w:cs="Times New Roman"/>
      </w:rPr>
      <w:fldChar w:fldCharType="end"/>
    </w:r>
  </w:p>
  <w:p w:rsidR="00B64960" w:rsidRPr="00A54823" w:rsidRDefault="00B64960" w:rsidP="00A54823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A9" w:rsidRDefault="00B64960" w:rsidP="00A524A9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D958C2">
      <w:rPr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960" w:rsidRPr="00DC525C" w:rsidRDefault="00B64960" w:rsidP="00A04EC1">
    <w:pPr>
      <w:pStyle w:val="afa"/>
      <w:jc w:val="center"/>
      <w:rPr>
        <w:rFonts w:ascii="Times New Roman" w:hAnsi="Times New Roman" w:cs="Times New Roman"/>
      </w:rPr>
    </w:pPr>
    <w:r w:rsidRPr="00B64960">
      <w:rPr>
        <w:rFonts w:ascii="Times New Roman" w:hAnsi="Times New Roman" w:cs="Times New Roman"/>
      </w:rPr>
      <w:fldChar w:fldCharType="begin"/>
    </w:r>
    <w:r w:rsidRPr="00B64960">
      <w:rPr>
        <w:rFonts w:ascii="Times New Roman" w:hAnsi="Times New Roman" w:cs="Times New Roman"/>
      </w:rPr>
      <w:instrText>PAGE   \* MERGEFORMAT</w:instrText>
    </w:r>
    <w:r w:rsidRPr="00B64960">
      <w:rPr>
        <w:rFonts w:ascii="Times New Roman" w:hAnsi="Times New Roman" w:cs="Times New Roman"/>
      </w:rPr>
      <w:fldChar w:fldCharType="separate"/>
    </w:r>
    <w:r w:rsidR="00D958C2">
      <w:rPr>
        <w:rFonts w:ascii="Times New Roman" w:hAnsi="Times New Roman" w:cs="Times New Roman"/>
        <w:noProof/>
      </w:rPr>
      <w:t>22</w:t>
    </w:r>
    <w:r w:rsidRPr="00B64960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7256952"/>
    <w:multiLevelType w:val="hybridMultilevel"/>
    <w:tmpl w:val="5C164AA6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BF82135"/>
    <w:multiLevelType w:val="hybridMultilevel"/>
    <w:tmpl w:val="3F40D52E"/>
    <w:lvl w:ilvl="0" w:tplc="0419000F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13"/>
  </w:num>
  <w:num w:numId="5">
    <w:abstractNumId w:val="7"/>
  </w:num>
  <w:num w:numId="6">
    <w:abstractNumId w:val="19"/>
  </w:num>
  <w:num w:numId="7">
    <w:abstractNumId w:val="16"/>
  </w:num>
  <w:num w:numId="8">
    <w:abstractNumId w:val="9"/>
  </w:num>
  <w:num w:numId="9">
    <w:abstractNumId w:val="21"/>
  </w:num>
  <w:num w:numId="10">
    <w:abstractNumId w:val="5"/>
  </w:num>
  <w:num w:numId="11">
    <w:abstractNumId w:val="17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8"/>
  </w:num>
  <w:num w:numId="15">
    <w:abstractNumId w:val="10"/>
  </w:num>
  <w:num w:numId="16">
    <w:abstractNumId w:val="11"/>
  </w:num>
  <w:num w:numId="17">
    <w:abstractNumId w:val="15"/>
  </w:num>
  <w:num w:numId="18">
    <w:abstractNumId w:val="3"/>
  </w:num>
  <w:num w:numId="19">
    <w:abstractNumId w:val="1"/>
  </w:num>
  <w:num w:numId="20">
    <w:abstractNumId w:val="20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0500E"/>
    <w:rsid w:val="000306CD"/>
    <w:rsid w:val="00033CC4"/>
    <w:rsid w:val="00035F31"/>
    <w:rsid w:val="00043077"/>
    <w:rsid w:val="00052339"/>
    <w:rsid w:val="00054BBF"/>
    <w:rsid w:val="000569F3"/>
    <w:rsid w:val="000613AB"/>
    <w:rsid w:val="00065327"/>
    <w:rsid w:val="00065D74"/>
    <w:rsid w:val="000757D5"/>
    <w:rsid w:val="0007611B"/>
    <w:rsid w:val="00083962"/>
    <w:rsid w:val="000B1A33"/>
    <w:rsid w:val="000B1F10"/>
    <w:rsid w:val="000C3998"/>
    <w:rsid w:val="000C3EBB"/>
    <w:rsid w:val="000C6CC6"/>
    <w:rsid w:val="000D2392"/>
    <w:rsid w:val="000D27A0"/>
    <w:rsid w:val="000D476C"/>
    <w:rsid w:val="000E2468"/>
    <w:rsid w:val="000F6160"/>
    <w:rsid w:val="00100074"/>
    <w:rsid w:val="001038CA"/>
    <w:rsid w:val="00103B67"/>
    <w:rsid w:val="00106471"/>
    <w:rsid w:val="00106846"/>
    <w:rsid w:val="00106A3D"/>
    <w:rsid w:val="001125DF"/>
    <w:rsid w:val="00126081"/>
    <w:rsid w:val="00136251"/>
    <w:rsid w:val="001714A3"/>
    <w:rsid w:val="00175DEF"/>
    <w:rsid w:val="00177241"/>
    <w:rsid w:val="00177AB7"/>
    <w:rsid w:val="0018106B"/>
    <w:rsid w:val="001814E3"/>
    <w:rsid w:val="00181562"/>
    <w:rsid w:val="0018171F"/>
    <w:rsid w:val="00194440"/>
    <w:rsid w:val="00194449"/>
    <w:rsid w:val="001A1429"/>
    <w:rsid w:val="001A495B"/>
    <w:rsid w:val="001C1277"/>
    <w:rsid w:val="001C1826"/>
    <w:rsid w:val="001C745F"/>
    <w:rsid w:val="001E0708"/>
    <w:rsid w:val="001E0E4B"/>
    <w:rsid w:val="001E276C"/>
    <w:rsid w:val="001E394A"/>
    <w:rsid w:val="001F17B6"/>
    <w:rsid w:val="001F5A8F"/>
    <w:rsid w:val="00201EA4"/>
    <w:rsid w:val="002021E8"/>
    <w:rsid w:val="002067B7"/>
    <w:rsid w:val="002107A9"/>
    <w:rsid w:val="0021110B"/>
    <w:rsid w:val="0021143A"/>
    <w:rsid w:val="002133D4"/>
    <w:rsid w:val="00216EE2"/>
    <w:rsid w:val="00222996"/>
    <w:rsid w:val="002250A1"/>
    <w:rsid w:val="0023303E"/>
    <w:rsid w:val="002349DD"/>
    <w:rsid w:val="002368C8"/>
    <w:rsid w:val="00241D9E"/>
    <w:rsid w:val="00244FA8"/>
    <w:rsid w:val="002464D9"/>
    <w:rsid w:val="002514B4"/>
    <w:rsid w:val="00256AAB"/>
    <w:rsid w:val="00257B8A"/>
    <w:rsid w:val="00262139"/>
    <w:rsid w:val="002B020C"/>
    <w:rsid w:val="002B0D91"/>
    <w:rsid w:val="002C1FCD"/>
    <w:rsid w:val="002D112C"/>
    <w:rsid w:val="002D3FFC"/>
    <w:rsid w:val="002E5B5C"/>
    <w:rsid w:val="002E6DF5"/>
    <w:rsid w:val="002F1024"/>
    <w:rsid w:val="002F17EE"/>
    <w:rsid w:val="002F6E5B"/>
    <w:rsid w:val="003139C7"/>
    <w:rsid w:val="00314B92"/>
    <w:rsid w:val="00321204"/>
    <w:rsid w:val="003230F9"/>
    <w:rsid w:val="003235BB"/>
    <w:rsid w:val="00327DF8"/>
    <w:rsid w:val="00330A97"/>
    <w:rsid w:val="00334152"/>
    <w:rsid w:val="00350656"/>
    <w:rsid w:val="003520D6"/>
    <w:rsid w:val="00354EC5"/>
    <w:rsid w:val="00367CFE"/>
    <w:rsid w:val="0037758A"/>
    <w:rsid w:val="00380672"/>
    <w:rsid w:val="0038090F"/>
    <w:rsid w:val="003809AF"/>
    <w:rsid w:val="003819DD"/>
    <w:rsid w:val="00384EFE"/>
    <w:rsid w:val="003923D8"/>
    <w:rsid w:val="003A57AC"/>
    <w:rsid w:val="003B6BCB"/>
    <w:rsid w:val="003C3A8D"/>
    <w:rsid w:val="003D2B6F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6314"/>
    <w:rsid w:val="00427260"/>
    <w:rsid w:val="004541CC"/>
    <w:rsid w:val="004576E3"/>
    <w:rsid w:val="0046728F"/>
    <w:rsid w:val="00471F86"/>
    <w:rsid w:val="00484E2D"/>
    <w:rsid w:val="004A0025"/>
    <w:rsid w:val="004A4F79"/>
    <w:rsid w:val="004B2FE7"/>
    <w:rsid w:val="004C0244"/>
    <w:rsid w:val="004D4264"/>
    <w:rsid w:val="004E04E5"/>
    <w:rsid w:val="004E4C1C"/>
    <w:rsid w:val="004F521E"/>
    <w:rsid w:val="00502191"/>
    <w:rsid w:val="00503122"/>
    <w:rsid w:val="005231CE"/>
    <w:rsid w:val="005241CC"/>
    <w:rsid w:val="0054137B"/>
    <w:rsid w:val="00542155"/>
    <w:rsid w:val="0054368A"/>
    <w:rsid w:val="0054440E"/>
    <w:rsid w:val="0054747A"/>
    <w:rsid w:val="00553176"/>
    <w:rsid w:val="00556CA2"/>
    <w:rsid w:val="0056175D"/>
    <w:rsid w:val="00563FAA"/>
    <w:rsid w:val="00567D90"/>
    <w:rsid w:val="00570326"/>
    <w:rsid w:val="00580DE9"/>
    <w:rsid w:val="00596677"/>
    <w:rsid w:val="005969F3"/>
    <w:rsid w:val="005A0E7F"/>
    <w:rsid w:val="005A24F7"/>
    <w:rsid w:val="005A6F85"/>
    <w:rsid w:val="005B420B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30886"/>
    <w:rsid w:val="0065556F"/>
    <w:rsid w:val="00657EF8"/>
    <w:rsid w:val="006622A4"/>
    <w:rsid w:val="00667DAD"/>
    <w:rsid w:val="0067454F"/>
    <w:rsid w:val="00677289"/>
    <w:rsid w:val="00687B40"/>
    <w:rsid w:val="00694809"/>
    <w:rsid w:val="006962B7"/>
    <w:rsid w:val="006A53A2"/>
    <w:rsid w:val="006A5F85"/>
    <w:rsid w:val="006B04BD"/>
    <w:rsid w:val="006B62CD"/>
    <w:rsid w:val="006C3481"/>
    <w:rsid w:val="006C7D4A"/>
    <w:rsid w:val="006D1F95"/>
    <w:rsid w:val="006D5DC8"/>
    <w:rsid w:val="006D6259"/>
    <w:rsid w:val="006F4B53"/>
    <w:rsid w:val="00702AF9"/>
    <w:rsid w:val="00711B7C"/>
    <w:rsid w:val="0071250A"/>
    <w:rsid w:val="0071473A"/>
    <w:rsid w:val="007153DF"/>
    <w:rsid w:val="00723819"/>
    <w:rsid w:val="00731826"/>
    <w:rsid w:val="00751048"/>
    <w:rsid w:val="00757184"/>
    <w:rsid w:val="007605A4"/>
    <w:rsid w:val="007612C2"/>
    <w:rsid w:val="0076259E"/>
    <w:rsid w:val="00765856"/>
    <w:rsid w:val="00765DC9"/>
    <w:rsid w:val="00765E77"/>
    <w:rsid w:val="007700AA"/>
    <w:rsid w:val="00774430"/>
    <w:rsid w:val="00776372"/>
    <w:rsid w:val="00776917"/>
    <w:rsid w:val="00782650"/>
    <w:rsid w:val="007865C4"/>
    <w:rsid w:val="0079176D"/>
    <w:rsid w:val="0079658E"/>
    <w:rsid w:val="007967EF"/>
    <w:rsid w:val="007A1A33"/>
    <w:rsid w:val="007A3032"/>
    <w:rsid w:val="007B7CF6"/>
    <w:rsid w:val="007C1762"/>
    <w:rsid w:val="007C36C7"/>
    <w:rsid w:val="007C5E37"/>
    <w:rsid w:val="007D0523"/>
    <w:rsid w:val="007D7323"/>
    <w:rsid w:val="007E7603"/>
    <w:rsid w:val="0080248B"/>
    <w:rsid w:val="00804BB4"/>
    <w:rsid w:val="008075AE"/>
    <w:rsid w:val="00811DDC"/>
    <w:rsid w:val="008122A5"/>
    <w:rsid w:val="00814A03"/>
    <w:rsid w:val="00841162"/>
    <w:rsid w:val="0084623C"/>
    <w:rsid w:val="00856146"/>
    <w:rsid w:val="0086764F"/>
    <w:rsid w:val="008729C2"/>
    <w:rsid w:val="00883BA8"/>
    <w:rsid w:val="0088549E"/>
    <w:rsid w:val="00891F8C"/>
    <w:rsid w:val="008A17A9"/>
    <w:rsid w:val="008A343E"/>
    <w:rsid w:val="008A3911"/>
    <w:rsid w:val="008A6227"/>
    <w:rsid w:val="008B1C97"/>
    <w:rsid w:val="008C025F"/>
    <w:rsid w:val="008C4081"/>
    <w:rsid w:val="008D1F2F"/>
    <w:rsid w:val="008E68A9"/>
    <w:rsid w:val="008F2C18"/>
    <w:rsid w:val="00902C1D"/>
    <w:rsid w:val="009042A8"/>
    <w:rsid w:val="009079FF"/>
    <w:rsid w:val="00911043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31F7"/>
    <w:rsid w:val="009A52E7"/>
    <w:rsid w:val="009B0405"/>
    <w:rsid w:val="009B0C37"/>
    <w:rsid w:val="009B5399"/>
    <w:rsid w:val="009C29B9"/>
    <w:rsid w:val="009C31D2"/>
    <w:rsid w:val="009D35A3"/>
    <w:rsid w:val="009D6453"/>
    <w:rsid w:val="009D736D"/>
    <w:rsid w:val="009D7783"/>
    <w:rsid w:val="009E16C8"/>
    <w:rsid w:val="009F76E4"/>
    <w:rsid w:val="009F7BCD"/>
    <w:rsid w:val="00A00C85"/>
    <w:rsid w:val="00A04EC1"/>
    <w:rsid w:val="00A1785B"/>
    <w:rsid w:val="00A279E4"/>
    <w:rsid w:val="00A305D4"/>
    <w:rsid w:val="00A32B66"/>
    <w:rsid w:val="00A344EA"/>
    <w:rsid w:val="00A40231"/>
    <w:rsid w:val="00A47D5C"/>
    <w:rsid w:val="00A50F14"/>
    <w:rsid w:val="00A50FE9"/>
    <w:rsid w:val="00A51DF6"/>
    <w:rsid w:val="00A524A9"/>
    <w:rsid w:val="00A54823"/>
    <w:rsid w:val="00A556C3"/>
    <w:rsid w:val="00A61791"/>
    <w:rsid w:val="00A63A1E"/>
    <w:rsid w:val="00A63D91"/>
    <w:rsid w:val="00A817DB"/>
    <w:rsid w:val="00A8258D"/>
    <w:rsid w:val="00A8375D"/>
    <w:rsid w:val="00A85ADB"/>
    <w:rsid w:val="00A86398"/>
    <w:rsid w:val="00A96614"/>
    <w:rsid w:val="00AA007F"/>
    <w:rsid w:val="00AA04B7"/>
    <w:rsid w:val="00AA462F"/>
    <w:rsid w:val="00AB13C0"/>
    <w:rsid w:val="00AC6483"/>
    <w:rsid w:val="00AC6D5E"/>
    <w:rsid w:val="00AD2BE4"/>
    <w:rsid w:val="00AE423A"/>
    <w:rsid w:val="00AF065B"/>
    <w:rsid w:val="00AF14F6"/>
    <w:rsid w:val="00AF2F10"/>
    <w:rsid w:val="00AF7F1F"/>
    <w:rsid w:val="00B00808"/>
    <w:rsid w:val="00B07986"/>
    <w:rsid w:val="00B10A94"/>
    <w:rsid w:val="00B166AD"/>
    <w:rsid w:val="00B16998"/>
    <w:rsid w:val="00B16DDC"/>
    <w:rsid w:val="00B21949"/>
    <w:rsid w:val="00B265E0"/>
    <w:rsid w:val="00B27AA7"/>
    <w:rsid w:val="00B27B20"/>
    <w:rsid w:val="00B4015C"/>
    <w:rsid w:val="00B45D4F"/>
    <w:rsid w:val="00B53C1C"/>
    <w:rsid w:val="00B55086"/>
    <w:rsid w:val="00B57BB1"/>
    <w:rsid w:val="00B60B46"/>
    <w:rsid w:val="00B62077"/>
    <w:rsid w:val="00B64960"/>
    <w:rsid w:val="00B72031"/>
    <w:rsid w:val="00B84BE4"/>
    <w:rsid w:val="00B8574B"/>
    <w:rsid w:val="00B85A26"/>
    <w:rsid w:val="00B860E4"/>
    <w:rsid w:val="00B91A48"/>
    <w:rsid w:val="00BD440E"/>
    <w:rsid w:val="00BD7155"/>
    <w:rsid w:val="00BD7DA4"/>
    <w:rsid w:val="00BE4FB0"/>
    <w:rsid w:val="00BE6261"/>
    <w:rsid w:val="00C07AF6"/>
    <w:rsid w:val="00C156EC"/>
    <w:rsid w:val="00C165A0"/>
    <w:rsid w:val="00C173BE"/>
    <w:rsid w:val="00C214A2"/>
    <w:rsid w:val="00C234E9"/>
    <w:rsid w:val="00C30B91"/>
    <w:rsid w:val="00C329A2"/>
    <w:rsid w:val="00C50298"/>
    <w:rsid w:val="00C57463"/>
    <w:rsid w:val="00C61044"/>
    <w:rsid w:val="00C70096"/>
    <w:rsid w:val="00C72F63"/>
    <w:rsid w:val="00C82A8C"/>
    <w:rsid w:val="00C830D3"/>
    <w:rsid w:val="00C84F1E"/>
    <w:rsid w:val="00C91810"/>
    <w:rsid w:val="00C920F6"/>
    <w:rsid w:val="00C933B7"/>
    <w:rsid w:val="00C9463C"/>
    <w:rsid w:val="00C95E09"/>
    <w:rsid w:val="00C97520"/>
    <w:rsid w:val="00CB7C13"/>
    <w:rsid w:val="00CC3A17"/>
    <w:rsid w:val="00CC69C2"/>
    <w:rsid w:val="00CD78F4"/>
    <w:rsid w:val="00CE0CA2"/>
    <w:rsid w:val="00CE240F"/>
    <w:rsid w:val="00CE32CA"/>
    <w:rsid w:val="00CE6FB2"/>
    <w:rsid w:val="00CF3092"/>
    <w:rsid w:val="00CF4725"/>
    <w:rsid w:val="00D00818"/>
    <w:rsid w:val="00D011F0"/>
    <w:rsid w:val="00D04DD3"/>
    <w:rsid w:val="00D07D0F"/>
    <w:rsid w:val="00D07F17"/>
    <w:rsid w:val="00D104D8"/>
    <w:rsid w:val="00D134D8"/>
    <w:rsid w:val="00D35FE4"/>
    <w:rsid w:val="00D449F5"/>
    <w:rsid w:val="00D57E41"/>
    <w:rsid w:val="00D60CF4"/>
    <w:rsid w:val="00D61A6C"/>
    <w:rsid w:val="00D61C4E"/>
    <w:rsid w:val="00D64291"/>
    <w:rsid w:val="00D65065"/>
    <w:rsid w:val="00D74BD6"/>
    <w:rsid w:val="00D81061"/>
    <w:rsid w:val="00D913DD"/>
    <w:rsid w:val="00D958C2"/>
    <w:rsid w:val="00DA0C83"/>
    <w:rsid w:val="00DB3024"/>
    <w:rsid w:val="00DB47EC"/>
    <w:rsid w:val="00DB7328"/>
    <w:rsid w:val="00DC525C"/>
    <w:rsid w:val="00DE4231"/>
    <w:rsid w:val="00DE5DED"/>
    <w:rsid w:val="00DE7C5E"/>
    <w:rsid w:val="00DF0D56"/>
    <w:rsid w:val="00DF6BE0"/>
    <w:rsid w:val="00DF6BF1"/>
    <w:rsid w:val="00DF7B05"/>
    <w:rsid w:val="00E153C1"/>
    <w:rsid w:val="00E23EC6"/>
    <w:rsid w:val="00E24058"/>
    <w:rsid w:val="00E337C3"/>
    <w:rsid w:val="00E4182B"/>
    <w:rsid w:val="00E42380"/>
    <w:rsid w:val="00E44312"/>
    <w:rsid w:val="00E44ADE"/>
    <w:rsid w:val="00E559F3"/>
    <w:rsid w:val="00E70E80"/>
    <w:rsid w:val="00E72B58"/>
    <w:rsid w:val="00E80292"/>
    <w:rsid w:val="00E91FFC"/>
    <w:rsid w:val="00EA2524"/>
    <w:rsid w:val="00EA3694"/>
    <w:rsid w:val="00EB4236"/>
    <w:rsid w:val="00EC0F79"/>
    <w:rsid w:val="00EC3618"/>
    <w:rsid w:val="00EC66EF"/>
    <w:rsid w:val="00ED0409"/>
    <w:rsid w:val="00ED4A4F"/>
    <w:rsid w:val="00EE4120"/>
    <w:rsid w:val="00EF39B9"/>
    <w:rsid w:val="00EF6BD3"/>
    <w:rsid w:val="00F000B4"/>
    <w:rsid w:val="00F011FA"/>
    <w:rsid w:val="00F01EC5"/>
    <w:rsid w:val="00F077CC"/>
    <w:rsid w:val="00F16834"/>
    <w:rsid w:val="00F1763F"/>
    <w:rsid w:val="00F21FE0"/>
    <w:rsid w:val="00F400AE"/>
    <w:rsid w:val="00F40653"/>
    <w:rsid w:val="00F421B5"/>
    <w:rsid w:val="00F53CD1"/>
    <w:rsid w:val="00F53DAD"/>
    <w:rsid w:val="00F61E55"/>
    <w:rsid w:val="00F62BE8"/>
    <w:rsid w:val="00F70EBB"/>
    <w:rsid w:val="00F72863"/>
    <w:rsid w:val="00F76DCE"/>
    <w:rsid w:val="00F80CAC"/>
    <w:rsid w:val="00F812DC"/>
    <w:rsid w:val="00F9148E"/>
    <w:rsid w:val="00F953B9"/>
    <w:rsid w:val="00F9667B"/>
    <w:rsid w:val="00FB158E"/>
    <w:rsid w:val="00FB1736"/>
    <w:rsid w:val="00FB686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uiPriority w:val="99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  <w:style w:type="paragraph" w:customStyle="1" w:styleId="1e">
    <w:name w:val="Без интервала1"/>
    <w:rsid w:val="001038C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9B64D-574C-4BDD-968A-2DE210C6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3170</TotalTime>
  <Pages>31</Pages>
  <Words>8672</Words>
  <Characters>49435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489</cp:revision>
  <cp:lastPrinted>2022-08-03T09:29:00Z</cp:lastPrinted>
  <dcterms:created xsi:type="dcterms:W3CDTF">2019-09-16T12:58:00Z</dcterms:created>
  <dcterms:modified xsi:type="dcterms:W3CDTF">2022-08-05T07:14:00Z</dcterms:modified>
</cp:coreProperties>
</file>